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0"/>
          <w:szCs w:val="20"/>
          <w:color w:val="auto"/>
        </w:rPr>
        <w:t>_________________________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35"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0"/>
          <w:szCs w:val="20"/>
          <w:color w:val="auto"/>
        </w:rPr>
        <w:t>_________________________</w:t>
      </w:r>
    </w:p>
    <w:p>
      <w:pPr>
        <w:spacing w:after="0" w:line="28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4340" w:right="3820" w:hanging="4314"/>
        <w:spacing w:after="0" w:line="367" w:lineRule="auto"/>
        <w:tabs>
          <w:tab w:leader="none" w:pos="486" w:val="left"/>
        </w:tabs>
        <w:numPr>
          <w:ilvl w:val="0"/>
          <w:numId w:val="1"/>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87" w:lineRule="exact"/>
        <w:rPr>
          <w:sz w:val="24"/>
          <w:szCs w:val="24"/>
          <w:color w:val="auto"/>
        </w:rPr>
      </w:pPr>
    </w:p>
    <w:p>
      <w:pPr>
        <w:ind w:left="4340" w:right="3800" w:hanging="4314"/>
        <w:spacing w:after="0" w:line="367" w:lineRule="auto"/>
        <w:tabs>
          <w:tab w:leader="none" w:pos="486"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34"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______________ to ______________</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001-39799</w:t>
      </w:r>
    </w:p>
    <w:p>
      <w:pPr>
        <w:spacing w:after="0" w:line="21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0"/>
          <w:szCs w:val="20"/>
          <w:color w:val="auto"/>
        </w:rPr>
        <w:t>_________________________</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Certara, Inc.</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0"/>
          <w:szCs w:val="20"/>
          <w:color w:val="auto"/>
        </w:rPr>
        <w:t>_________________________</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360" w:type="dxa"/>
            <w:vAlign w:val="bottom"/>
            <w:gridSpan w:val="2"/>
          </w:tcPr>
          <w:p>
            <w:pPr>
              <w:jc w:val="center"/>
              <w:ind w:left="175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00" w:type="dxa"/>
            <w:vAlign w:val="bottom"/>
          </w:tcPr>
          <w:p>
            <w:pPr>
              <w:jc w:val="center"/>
              <w:ind w:right="735"/>
              <w:spacing w:after="0"/>
              <w:rPr>
                <w:sz w:val="20"/>
                <w:szCs w:val="20"/>
                <w:color w:val="auto"/>
              </w:rPr>
            </w:pPr>
            <w:r>
              <w:rPr>
                <w:rFonts w:ascii="Times New Roman" w:cs="Times New Roman" w:eastAsia="Times New Roman" w:hAnsi="Times New Roman"/>
                <w:sz w:val="14"/>
                <w:szCs w:val="14"/>
                <w:color w:val="auto"/>
              </w:rPr>
              <w:t>82-2180925</w:t>
            </w:r>
          </w:p>
        </w:tc>
      </w:tr>
      <w:tr>
        <w:trPr>
          <w:trHeight w:val="372"/>
        </w:trPr>
        <w:tc>
          <w:tcPr>
            <w:tcW w:w="4360" w:type="dxa"/>
            <w:vAlign w:val="bottom"/>
            <w:gridSpan w:val="2"/>
          </w:tcPr>
          <w:p>
            <w:pPr>
              <w:jc w:val="center"/>
              <w:ind w:left="1754"/>
              <w:spacing w:after="0"/>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00" w:type="dxa"/>
            <w:vAlign w:val="bottom"/>
          </w:tcPr>
          <w:p>
            <w:pPr>
              <w:jc w:val="center"/>
              <w:ind w:right="735"/>
              <w:spacing w:after="0"/>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4360" w:type="dxa"/>
            <w:vAlign w:val="bottom"/>
            <w:gridSpan w:val="2"/>
          </w:tcPr>
          <w:p>
            <w:pPr>
              <w:jc w:val="center"/>
              <w:ind w:left="1754"/>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300" w:type="dxa"/>
            <w:vAlign w:val="bottom"/>
          </w:tcPr>
          <w:p>
            <w:pPr>
              <w:jc w:val="center"/>
              <w:ind w:right="715"/>
              <w:spacing w:after="0"/>
              <w:rPr>
                <w:sz w:val="20"/>
                <w:szCs w:val="20"/>
                <w:color w:val="auto"/>
              </w:rPr>
            </w:pPr>
            <w:r>
              <w:rPr>
                <w:rFonts w:ascii="Times New Roman" w:cs="Times New Roman" w:eastAsia="Times New Roman" w:hAnsi="Times New Roman"/>
                <w:sz w:val="11"/>
                <w:szCs w:val="11"/>
                <w:b w:val="1"/>
                <w:bCs w:val="1"/>
                <w:color w:val="auto"/>
                <w:w w:val="98"/>
              </w:rPr>
              <w:t>Identification Number)</w:t>
            </w:r>
          </w:p>
        </w:tc>
      </w:tr>
      <w:tr>
        <w:trPr>
          <w:trHeight w:val="336"/>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4 Radnor Corporate Center</w:t>
            </w:r>
          </w:p>
        </w:tc>
        <w:tc>
          <w:tcPr>
            <w:tcW w:w="4300" w:type="dxa"/>
            <w:vAlign w:val="bottom"/>
          </w:tcPr>
          <w:p>
            <w:pPr>
              <w:spacing w:after="0"/>
              <w:rPr>
                <w:sz w:val="24"/>
                <w:szCs w:val="24"/>
                <w:color w:val="auto"/>
              </w:rPr>
            </w:pPr>
          </w:p>
        </w:tc>
      </w:tr>
      <w:tr>
        <w:trPr>
          <w:trHeight w:val="230"/>
        </w:trPr>
        <w:tc>
          <w:tcPr>
            <w:tcW w:w="4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Suite 350</w:t>
            </w:r>
          </w:p>
        </w:tc>
        <w:tc>
          <w:tcPr>
            <w:tcW w:w="4300" w:type="dxa"/>
            <w:vAlign w:val="bottom"/>
          </w:tcPr>
          <w:p>
            <w:pPr>
              <w:spacing w:after="0"/>
              <w:rPr>
                <w:sz w:val="19"/>
                <w:szCs w:val="19"/>
                <w:color w:val="auto"/>
              </w:rPr>
            </w:pPr>
          </w:p>
        </w:tc>
      </w:tr>
      <w:tr>
        <w:trPr>
          <w:trHeight w:val="230"/>
        </w:trPr>
        <w:tc>
          <w:tcPr>
            <w:tcW w:w="4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Radnor, Pennsylvania 19087</w:t>
            </w:r>
          </w:p>
        </w:tc>
        <w:tc>
          <w:tcPr>
            <w:tcW w:w="4300" w:type="dxa"/>
            <w:vAlign w:val="bottom"/>
          </w:tcPr>
          <w:p>
            <w:pPr>
              <w:spacing w:after="0"/>
              <w:rPr>
                <w:sz w:val="19"/>
                <w:szCs w:val="19"/>
                <w:color w:val="auto"/>
              </w:rPr>
            </w:pPr>
          </w:p>
        </w:tc>
      </w:tr>
      <w:tr>
        <w:trPr>
          <w:trHeight w:val="190"/>
        </w:trPr>
        <w:tc>
          <w:tcPr>
            <w:tcW w:w="4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4300" w:type="dxa"/>
            <w:vAlign w:val="bottom"/>
          </w:tcPr>
          <w:p>
            <w:pPr>
              <w:spacing w:after="0"/>
              <w:rPr>
                <w:sz w:val="16"/>
                <w:szCs w:val="16"/>
                <w:color w:val="auto"/>
              </w:rPr>
            </w:pPr>
          </w:p>
        </w:tc>
      </w:tr>
      <w:tr>
        <w:trPr>
          <w:trHeight w:val="215"/>
        </w:trPr>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(415) 237-8272</w:t>
            </w:r>
          </w:p>
        </w:tc>
        <w:tc>
          <w:tcPr>
            <w:tcW w:w="8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353"/>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(Registrant’s telephone number)</w:t>
            </w:r>
          </w:p>
        </w:tc>
        <w:tc>
          <w:tcPr>
            <w:tcW w:w="4300" w:type="dxa"/>
            <w:vAlign w:val="bottom"/>
          </w:tcPr>
          <w:p>
            <w:pPr>
              <w:spacing w:after="0"/>
              <w:rPr>
                <w:sz w:val="24"/>
                <w:szCs w:val="24"/>
                <w:color w:val="auto"/>
              </w:rPr>
            </w:pPr>
          </w:p>
        </w:tc>
      </w:tr>
      <w:tr>
        <w:trPr>
          <w:trHeight w:val="460"/>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_________________________</w:t>
            </w:r>
          </w:p>
        </w:tc>
        <w:tc>
          <w:tcPr>
            <w:tcW w:w="4300" w:type="dxa"/>
            <w:vAlign w:val="bottom"/>
          </w:tcPr>
          <w:p>
            <w:pPr>
              <w:spacing w:after="0"/>
              <w:rPr>
                <w:sz w:val="24"/>
                <w:szCs w:val="24"/>
                <w:color w:val="auto"/>
              </w:rPr>
            </w:pPr>
          </w:p>
        </w:tc>
      </w:tr>
      <w:tr>
        <w:trPr>
          <w:trHeight w:val="213"/>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284"/>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4"/>
        </w:trPr>
        <w:tc>
          <w:tcPr>
            <w:tcW w:w="4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186"/>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CERT</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95" w:lineRule="exact"/>
        <w:rPr>
          <w:sz w:val="24"/>
          <w:szCs w:val="24"/>
          <w:color w:val="auto"/>
        </w:rPr>
      </w:pPr>
    </w:p>
    <w:p>
      <w:pPr>
        <w:ind w:right="220"/>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104" w:right="439" w:bottom="1440" w:gutter="0" w:footer="0" w:header="0"/>
        </w:sectPr>
      </w:pP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151" w:lineRule="exact"/>
        <w:rPr>
          <w:sz w:val="20"/>
          <w:szCs w:val="20"/>
          <w:color w:val="auto"/>
        </w:rPr>
      </w:pPr>
    </w:p>
    <w:p>
      <w:pPr>
        <w:sectPr>
          <w:pgSz w:w="11900" w:h="16838" w:orient="portrait"/>
          <w:cols w:equalWidth="0" w:num="4">
            <w:col w:w="1760" w:space="720"/>
            <w:col w:w="300" w:space="720"/>
            <w:col w:w="2120" w:space="720"/>
            <w:col w:w="4800"/>
          </w:cols>
          <w:pgMar w:left="320" w:top="104" w:right="4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Wingdings" w:cs="Wingdings" w:eastAsia="Wingdings" w:hAnsi="Wingdings"/>
          <w:sz w:val="14"/>
          <w:szCs w:val="14"/>
          <w:b w:val="1"/>
          <w:bCs w:val="1"/>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165" w:lineRule="exact"/>
        <w:rPr>
          <w:sz w:val="20"/>
          <w:szCs w:val="20"/>
          <w:color w:val="auto"/>
        </w:rPr>
      </w:pPr>
    </w:p>
    <w:p>
      <w:pPr>
        <w:sectPr>
          <w:pgSz w:w="11900" w:h="16838" w:orient="portrait"/>
          <w:cols w:equalWidth="0" w:num="6">
            <w:col w:w="1760" w:space="720"/>
            <w:col w:w="300" w:space="720"/>
            <w:col w:w="2120" w:space="720"/>
            <w:col w:w="280" w:space="720"/>
            <w:col w:w="2140" w:space="720"/>
            <w:col w:w="940"/>
          </w:cols>
          <w:pgMar w:left="320" w:top="104" w:right="439" w:bottom="1440" w:gutter="0" w:footer="0" w:header="0"/>
          <w:type w:val="continuous"/>
        </w:sectPr>
      </w:pPr>
    </w:p>
    <w:p>
      <w:pPr>
        <w:ind w:right="460"/>
        <w:spacing w:after="0" w:line="31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0"/>
          <w:szCs w:val="20"/>
          <w:color w:val="auto"/>
        </w:rPr>
      </w:pPr>
    </w:p>
    <w:p>
      <w:pPr>
        <w:ind w:right="3780"/>
        <w:spacing w:after="0" w:line="38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As of May 1, 2026, the registrant had 155,564,608 shares of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04" w:right="4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Certara, Inc.</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Unless otherwise indicated, references to the “Company,” “Certara,” “we,” “us,” and “our” refer to Certara, Inc. and its consolidated subsidiaries.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This Quarterly Report on Form 10-Q (this “Quarterly Report”)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 this Quarterly Report regarding the prospects of the industry and our prospects, plans, financial position and business strategy may constitute forward-looking statements. In addition, forward-looking statements generally can be identified by the use of forward-looking terminology such as “may,” “should,” “expect,” “might,” “intend,” “will,” “estimate,” “anticipate,” “plan,” “seek,” “believe,” “predict,” “potential,” “continue,” “suggest,” “project,” “future,” “likely” or “target” or the negatives of these terms or variations of them or similar terminology. Although we believe that the expectations reflected in these forward-looking statements are reasonable, we cannot provide any assurance that these expectations will prove to be correct. Such statements reflect the current views of our management with respect to our operations, results of operations and future financial performance and are subject to various risks and uncertainties. Accordingly, there are or will be important factors that could cause actual outcomes or results to differ materially from those indicated in these statements. The following factors are among those that may cause actual results to differ materially from the forward-looking statements:</w:t>
      </w:r>
    </w:p>
    <w:p>
      <w:pPr>
        <w:spacing w:after="0" w:line="192" w:lineRule="exact"/>
        <w:rPr>
          <w:sz w:val="20"/>
          <w:szCs w:val="20"/>
          <w:color w:val="auto"/>
        </w:rPr>
      </w:pPr>
    </w:p>
    <w:p>
      <w:pPr>
        <w:ind w:left="580" w:hanging="410"/>
        <w:spacing w:after="0" w:line="269" w:lineRule="auto"/>
        <w:tabs>
          <w:tab w:leader="none" w:pos="56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possibility that the previously announced divestiture of our Reuglatory Medical Writing business (the "divestiture") does not close.</w:t>
      </w:r>
    </w:p>
    <w:p>
      <w:pPr>
        <w:spacing w:after="0" w:line="64" w:lineRule="exact"/>
        <w:rPr>
          <w:rFonts w:ascii="Times New Roman" w:cs="Times New Roman" w:eastAsia="Times New Roman" w:hAnsi="Times New Roman"/>
          <w:sz w:val="20"/>
          <w:szCs w:val="20"/>
          <w:color w:val="auto"/>
        </w:rPr>
      </w:pPr>
    </w:p>
    <w:p>
      <w:pPr>
        <w:ind w:left="580" w:right="20" w:hanging="410"/>
        <w:spacing w:after="0" w:line="269" w:lineRule="auto"/>
        <w:tabs>
          <w:tab w:leader="none" w:pos="56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costs and length of time required to comply with legal requirements and regulatory approvals applicable to the divestiture transaction.</w:t>
      </w:r>
    </w:p>
    <w:p>
      <w:pPr>
        <w:spacing w:after="0" w:line="64" w:lineRule="exact"/>
        <w:rPr>
          <w:rFonts w:ascii="Times New Roman" w:cs="Times New Roman" w:eastAsia="Times New Roman" w:hAnsi="Times New Roman"/>
          <w:sz w:val="20"/>
          <w:szCs w:val="20"/>
          <w:color w:val="auto"/>
        </w:rPr>
      </w:pPr>
    </w:p>
    <w:p>
      <w:pPr>
        <w:ind w:left="560" w:hanging="390"/>
        <w:spacing w:after="0"/>
        <w:tabs>
          <w:tab w:leader="none" w:pos="5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and shareholder reaction to the divestiture transaction.</w:t>
      </w:r>
    </w:p>
    <w:p>
      <w:pPr>
        <w:spacing w:after="0" w:line="107" w:lineRule="exact"/>
        <w:rPr>
          <w:rFonts w:ascii="Times New Roman" w:cs="Times New Roman" w:eastAsia="Times New Roman" w:hAnsi="Times New Roman"/>
          <w:sz w:val="20"/>
          <w:szCs w:val="20"/>
          <w:color w:val="auto"/>
        </w:rPr>
      </w:pPr>
    </w:p>
    <w:p>
      <w:pPr>
        <w:ind w:left="560" w:hanging="390"/>
        <w:spacing w:after="0"/>
        <w:tabs>
          <w:tab w:leader="none" w:pos="5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from the divestiture transaction making it more difficult to maintain business and operational relationships.</w:t>
      </w:r>
    </w:p>
    <w:p>
      <w:pPr>
        <w:spacing w:after="0" w:line="121" w:lineRule="exact"/>
        <w:rPr>
          <w:rFonts w:ascii="Times New Roman" w:cs="Times New Roman" w:eastAsia="Times New Roman" w:hAnsi="Times New Roman"/>
          <w:sz w:val="20"/>
          <w:szCs w:val="20"/>
          <w:color w:val="auto"/>
        </w:rPr>
      </w:pPr>
    </w:p>
    <w:p>
      <w:pPr>
        <w:ind w:left="560" w:hanging="390"/>
        <w:spacing w:after="0"/>
        <w:tabs>
          <w:tab w:leader="none" w:pos="5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divestiture transaction costs.</w:t>
      </w:r>
    </w:p>
    <w:p>
      <w:pPr>
        <w:spacing w:after="0" w:line="121" w:lineRule="exact"/>
        <w:rPr>
          <w:rFonts w:ascii="Times New Roman" w:cs="Times New Roman" w:eastAsia="Times New Roman" w:hAnsi="Times New Roman"/>
          <w:sz w:val="20"/>
          <w:szCs w:val="20"/>
          <w:color w:val="auto"/>
        </w:rPr>
      </w:pPr>
    </w:p>
    <w:p>
      <w:pPr>
        <w:ind w:left="580" w:hanging="410"/>
        <w:spacing w:after="0" w:line="269" w:lineRule="auto"/>
        <w:tabs>
          <w:tab w:leader="none" w:pos="56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Deceleration in, or resistance to, the acceptance of model-informed biopharmaceutical discovery and development could reduce the demand for our products and services.</w:t>
      </w:r>
    </w:p>
    <w:p>
      <w:pPr>
        <w:spacing w:after="0" w:line="64" w:lineRule="exact"/>
        <w:rPr>
          <w:rFonts w:ascii="Times New Roman" w:cs="Times New Roman" w:eastAsia="Times New Roman" w:hAnsi="Times New Roman"/>
          <w:sz w:val="20"/>
          <w:szCs w:val="20"/>
          <w:color w:val="auto"/>
        </w:rPr>
      </w:pPr>
    </w:p>
    <w:p>
      <w:pPr>
        <w:ind w:left="560" w:hanging="390"/>
        <w:spacing w:after="0"/>
        <w:tabs>
          <w:tab w:leader="none" w:pos="5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compete in a competitive and highly fragmented market.</w:t>
      </w:r>
    </w:p>
    <w:p>
      <w:pPr>
        <w:spacing w:after="0" w:line="107" w:lineRule="exact"/>
        <w:rPr>
          <w:rFonts w:ascii="Times New Roman" w:cs="Times New Roman" w:eastAsia="Times New Roman" w:hAnsi="Times New Roman"/>
          <w:sz w:val="20"/>
          <w:szCs w:val="20"/>
          <w:color w:val="auto"/>
        </w:rPr>
      </w:pPr>
    </w:p>
    <w:p>
      <w:pPr>
        <w:ind w:left="580" w:right="20" w:hanging="410"/>
        <w:spacing w:after="0" w:line="283" w:lineRule="auto"/>
        <w:tabs>
          <w:tab w:leader="none" w:pos="56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or delays in government regulation relating to the biopharmaceutical industry could decrease the need for some of the services we provide.</w:t>
      </w:r>
    </w:p>
    <w:p>
      <w:pPr>
        <w:spacing w:after="0" w:line="51" w:lineRule="exact"/>
        <w:rPr>
          <w:rFonts w:ascii="Times New Roman" w:cs="Times New Roman" w:eastAsia="Times New Roman" w:hAnsi="Times New Roman"/>
          <w:sz w:val="20"/>
          <w:szCs w:val="20"/>
          <w:color w:val="auto"/>
        </w:rPr>
      </w:pPr>
    </w:p>
    <w:p>
      <w:pPr>
        <w:ind w:left="580" w:hanging="410"/>
        <w:spacing w:after="0" w:line="269" w:lineRule="auto"/>
        <w:tabs>
          <w:tab w:leader="none" w:pos="56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 in research and development (“R&amp;D”) spending by our customers, as well as delays in the drug discovery and development process, may reduce demand for our products and services.</w:t>
      </w:r>
    </w:p>
    <w:p>
      <w:pPr>
        <w:spacing w:after="0" w:line="64" w:lineRule="exact"/>
        <w:rPr>
          <w:rFonts w:ascii="Times New Roman" w:cs="Times New Roman" w:eastAsia="Times New Roman" w:hAnsi="Times New Roman"/>
          <w:sz w:val="20"/>
          <w:szCs w:val="20"/>
          <w:color w:val="auto"/>
        </w:rPr>
      </w:pPr>
    </w:p>
    <w:p>
      <w:pPr>
        <w:ind w:left="580" w:right="20" w:hanging="410"/>
        <w:spacing w:after="0" w:line="269" w:lineRule="auto"/>
        <w:tabs>
          <w:tab w:leader="none" w:pos="56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Operational disruptions, funding constraints and policy changes at the FDA and other government agencies could adversely affect regulatory activity and our business.</w:t>
      </w:r>
    </w:p>
    <w:p>
      <w:pPr>
        <w:spacing w:after="0" w:line="64" w:lineRule="exact"/>
        <w:rPr>
          <w:rFonts w:ascii="Times New Roman" w:cs="Times New Roman" w:eastAsia="Times New Roman" w:hAnsi="Times New Roman"/>
          <w:sz w:val="20"/>
          <w:szCs w:val="20"/>
          <w:color w:val="auto"/>
        </w:rPr>
      </w:pPr>
    </w:p>
    <w:p>
      <w:pPr>
        <w:ind w:left="580" w:right="20" w:hanging="410"/>
        <w:spacing w:after="0" w:line="283" w:lineRule="auto"/>
        <w:tabs>
          <w:tab w:leader="none" w:pos="56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Consolidation within the biopharmaceutical industry may reduce the pool of potential customers for our products and services or reduce the number of licenses for our software products.</w:t>
      </w:r>
    </w:p>
    <w:p>
      <w:pPr>
        <w:spacing w:after="0" w:line="38" w:lineRule="exact"/>
        <w:rPr>
          <w:rFonts w:ascii="Times New Roman" w:cs="Times New Roman" w:eastAsia="Times New Roman" w:hAnsi="Times New Roman"/>
          <w:sz w:val="20"/>
          <w:szCs w:val="20"/>
          <w:color w:val="auto"/>
        </w:rPr>
      </w:pPr>
    </w:p>
    <w:p>
      <w:pPr>
        <w:ind w:left="580" w:right="20" w:hanging="410"/>
        <w:spacing w:after="0" w:line="283" w:lineRule="auto"/>
        <w:tabs>
          <w:tab w:leader="none" w:pos="56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continued revenue growth depends on our ability to successfully increase our customer base, expand our relationships and the products and services we provide, and enter new markets.</w:t>
      </w:r>
    </w:p>
    <w:p>
      <w:pPr>
        <w:spacing w:after="0" w:line="38" w:lineRule="exact"/>
        <w:rPr>
          <w:rFonts w:ascii="Times New Roman" w:cs="Times New Roman" w:eastAsia="Times New Roman" w:hAnsi="Times New Roman"/>
          <w:sz w:val="20"/>
          <w:szCs w:val="20"/>
          <w:color w:val="auto"/>
        </w:rPr>
      </w:pPr>
    </w:p>
    <w:p>
      <w:pPr>
        <w:ind w:left="580" w:hanging="410"/>
        <w:spacing w:after="0" w:line="283" w:lineRule="auto"/>
        <w:tabs>
          <w:tab w:leader="none" w:pos="56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depend on key personnel and may not be able to retain these employees or recruit additional qualified personnel, which could harm our business.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80" w:hanging="410"/>
        <w:spacing w:after="0" w:line="283" w:lineRule="auto"/>
        <w:tabs>
          <w:tab w:leader="none" w:pos="5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independent contractors are characterized as employees, we could be subject to material adverse effects on our business and employment and withholding liabilities.</w:t>
      </w:r>
    </w:p>
    <w:p>
      <w:pPr>
        <w:spacing w:after="0" w:line="38" w:lineRule="exact"/>
        <w:rPr>
          <w:rFonts w:ascii="Times New Roman" w:cs="Times New Roman" w:eastAsia="Times New Roman" w:hAnsi="Times New Roman"/>
          <w:sz w:val="20"/>
          <w:szCs w:val="20"/>
          <w:color w:val="auto"/>
        </w:rPr>
      </w:pPr>
    </w:p>
    <w:p>
      <w:pPr>
        <w:ind w:left="580" w:hanging="410"/>
        <w:spacing w:after="0" w:line="283" w:lineRule="auto"/>
        <w:tabs>
          <w:tab w:leader="none" w:pos="5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or defects in the release of new or enhanced software or other biosimulation tools may result in increased cost to us, delayed market acceptance of our products, diminished demand for our products, delayed or lost revenue, and liability.</w:t>
      </w:r>
    </w:p>
    <w:p>
      <w:pPr>
        <w:spacing w:after="0" w:line="38" w:lineRule="exact"/>
        <w:rPr>
          <w:rFonts w:ascii="Times New Roman" w:cs="Times New Roman" w:eastAsia="Times New Roman" w:hAnsi="Times New Roman"/>
          <w:sz w:val="20"/>
          <w:szCs w:val="20"/>
          <w:color w:val="auto"/>
        </w:rPr>
      </w:pPr>
    </w:p>
    <w:p>
      <w:pPr>
        <w:jc w:val="both"/>
        <w:ind w:left="580" w:hanging="410"/>
        <w:spacing w:after="0" w:line="268" w:lineRule="auto"/>
        <w:tabs>
          <w:tab w:leader="none" w:pos="5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Issues relating to the implementation, use and development of artificial intelligence (“AI”) and machine learning in our products and services may result in reputational harm, regulatory action, or legal liability, and any failure to adapt to such technological developments or industry trends could adversely affect the competitiveness of our business.</w:t>
      </w:r>
    </w:p>
    <w:p>
      <w:pPr>
        <w:spacing w:after="0" w:line="53" w:lineRule="exact"/>
        <w:rPr>
          <w:rFonts w:ascii="Times New Roman" w:cs="Times New Roman" w:eastAsia="Times New Roman" w:hAnsi="Times New Roman"/>
          <w:sz w:val="20"/>
          <w:szCs w:val="20"/>
          <w:color w:val="auto"/>
        </w:rPr>
      </w:pPr>
    </w:p>
    <w:p>
      <w:pPr>
        <w:ind w:left="580" w:right="20" w:hanging="410"/>
        <w:spacing w:after="0" w:line="283" w:lineRule="auto"/>
        <w:tabs>
          <w:tab w:leader="none" w:pos="5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existing customers do not renew their software licenses, do not buy additional solutions from us or renew at lower prices, our business and operating results will suffer.</w:t>
      </w:r>
    </w:p>
    <w:p>
      <w:pPr>
        <w:spacing w:after="0" w:line="38" w:lineRule="exact"/>
        <w:rPr>
          <w:rFonts w:ascii="Times New Roman" w:cs="Times New Roman" w:eastAsia="Times New Roman" w:hAnsi="Times New Roman"/>
          <w:sz w:val="20"/>
          <w:szCs w:val="20"/>
          <w:color w:val="auto"/>
        </w:rPr>
      </w:pPr>
    </w:p>
    <w:p>
      <w:pPr>
        <w:ind w:left="580" w:hanging="410"/>
        <w:spacing w:after="0" w:line="283" w:lineRule="auto"/>
        <w:tabs>
          <w:tab w:leader="none" w:pos="5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government customers and have received government grants, which subject us to risks including early termination, audits, investigations, sanctions, or penalties.</w:t>
      </w:r>
    </w:p>
    <w:p>
      <w:pPr>
        <w:spacing w:after="0" w:line="51" w:lineRule="exact"/>
        <w:rPr>
          <w:rFonts w:ascii="Times New Roman" w:cs="Times New Roman" w:eastAsia="Times New Roman" w:hAnsi="Times New Roman"/>
          <w:sz w:val="20"/>
          <w:szCs w:val="20"/>
          <w:color w:val="auto"/>
        </w:rPr>
      </w:pPr>
    </w:p>
    <w:p>
      <w:pPr>
        <w:jc w:val="both"/>
        <w:ind w:left="580" w:hanging="410"/>
        <w:spacing w:after="0" w:line="261" w:lineRule="auto"/>
        <w:tabs>
          <w:tab w:leader="none" w:pos="5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regularly evaluate potential acquisitions and other strategic transactions that we deem beneficial and strategic to our long-term growth and profitability, which could divert our management’s attention, result in additional dilution to our stockholders, and otherwise disrupt our operations and adversely affect our operating results.</w:t>
      </w:r>
    </w:p>
    <w:p>
      <w:pPr>
        <w:spacing w:after="0" w:line="59" w:lineRule="exact"/>
        <w:rPr>
          <w:rFonts w:ascii="Times New Roman" w:cs="Times New Roman" w:eastAsia="Times New Roman" w:hAnsi="Times New Roman"/>
          <w:sz w:val="20"/>
          <w:szCs w:val="20"/>
          <w:color w:val="auto"/>
        </w:rPr>
      </w:pPr>
    </w:p>
    <w:p>
      <w:pPr>
        <w:ind w:left="560" w:hanging="390"/>
        <w:spacing w:after="0"/>
        <w:tabs>
          <w:tab w:leader="none" w:pos="5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estimated addressable market is subject to inherent challenges and uncertainties.</w:t>
      </w:r>
    </w:p>
    <w:p>
      <w:pPr>
        <w:spacing w:after="0" w:line="121" w:lineRule="exact"/>
        <w:rPr>
          <w:rFonts w:ascii="Times New Roman" w:cs="Times New Roman" w:eastAsia="Times New Roman" w:hAnsi="Times New Roman"/>
          <w:sz w:val="20"/>
          <w:szCs w:val="20"/>
          <w:color w:val="auto"/>
        </w:rPr>
      </w:pPr>
    </w:p>
    <w:p>
      <w:pPr>
        <w:ind w:left="580" w:right="20" w:hanging="410"/>
        <w:spacing w:after="0" w:line="283" w:lineRule="auto"/>
        <w:tabs>
          <w:tab w:leader="none" w:pos="5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global economic conditions could have a negative effect on our business, results of operations and financial condition and liquidity.</w:t>
      </w:r>
    </w:p>
    <w:p>
      <w:pPr>
        <w:spacing w:after="0" w:line="38" w:lineRule="exact"/>
        <w:rPr>
          <w:rFonts w:ascii="Times New Roman" w:cs="Times New Roman" w:eastAsia="Times New Roman" w:hAnsi="Times New Roman"/>
          <w:sz w:val="20"/>
          <w:szCs w:val="20"/>
          <w:color w:val="auto"/>
        </w:rPr>
      </w:pPr>
    </w:p>
    <w:p>
      <w:pPr>
        <w:ind w:left="580" w:hanging="410"/>
        <w:spacing w:after="0" w:line="283" w:lineRule="auto"/>
        <w:tabs>
          <w:tab w:leader="none" w:pos="5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economic, political and other risks associated with the operation of a global business that could negatively affect our business, results of operations and financial condition.</w:t>
      </w:r>
    </w:p>
    <w:p>
      <w:pPr>
        <w:spacing w:after="0" w:line="38" w:lineRule="exact"/>
        <w:rPr>
          <w:rFonts w:ascii="Times New Roman" w:cs="Times New Roman" w:eastAsia="Times New Roman" w:hAnsi="Times New Roman"/>
          <w:sz w:val="20"/>
          <w:szCs w:val="20"/>
          <w:color w:val="auto"/>
        </w:rPr>
      </w:pPr>
    </w:p>
    <w:p>
      <w:pPr>
        <w:ind w:left="580" w:hanging="410"/>
        <w:spacing w:after="0" w:line="283" w:lineRule="auto"/>
        <w:tabs>
          <w:tab w:leader="none" w:pos="5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comply with trade compliance and economic sanctions laws and regulations could materially adversely affect our reputation and results of operations.</w:t>
      </w:r>
    </w:p>
    <w:p>
      <w:pPr>
        <w:spacing w:after="0" w:line="38" w:lineRule="exact"/>
        <w:rPr>
          <w:rFonts w:ascii="Times New Roman" w:cs="Times New Roman" w:eastAsia="Times New Roman" w:hAnsi="Times New Roman"/>
          <w:sz w:val="20"/>
          <w:szCs w:val="20"/>
          <w:color w:val="auto"/>
        </w:rPr>
      </w:pPr>
    </w:p>
    <w:p>
      <w:pPr>
        <w:ind w:left="580" w:right="20" w:hanging="410"/>
        <w:spacing w:after="0" w:line="283" w:lineRule="auto"/>
        <w:tabs>
          <w:tab w:leader="none" w:pos="5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and future litigation against us, which may arise in the ordinary course of our business, could be costly and time consuming to defend.</w:t>
      </w:r>
    </w:p>
    <w:p>
      <w:pPr>
        <w:spacing w:after="0" w:line="51" w:lineRule="exact"/>
        <w:rPr>
          <w:rFonts w:ascii="Times New Roman" w:cs="Times New Roman" w:eastAsia="Times New Roman" w:hAnsi="Times New Roman"/>
          <w:sz w:val="20"/>
          <w:szCs w:val="20"/>
          <w:color w:val="auto"/>
        </w:rPr>
      </w:pPr>
    </w:p>
    <w:p>
      <w:pPr>
        <w:ind w:left="580" w:hanging="410"/>
        <w:spacing w:after="0" w:line="269" w:lineRule="auto"/>
        <w:tabs>
          <w:tab w:leader="none" w:pos="5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insurance coverage may not be sufficient to avoid material impact on our financial position resulting from claims or liabilities against us, and we may not be able to obtain insurance coverage on attractive terms, or at all, in the future.</w:t>
      </w:r>
    </w:p>
    <w:p>
      <w:pPr>
        <w:spacing w:after="0" w:line="64" w:lineRule="exact"/>
        <w:rPr>
          <w:rFonts w:ascii="Times New Roman" w:cs="Times New Roman" w:eastAsia="Times New Roman" w:hAnsi="Times New Roman"/>
          <w:sz w:val="20"/>
          <w:szCs w:val="20"/>
          <w:color w:val="auto"/>
        </w:rPr>
      </w:pPr>
    </w:p>
    <w:p>
      <w:pPr>
        <w:ind w:left="580" w:hanging="410"/>
        <w:spacing w:after="0" w:line="269" w:lineRule="auto"/>
        <w:tabs>
          <w:tab w:leader="none" w:pos="5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perform our services in accordance with contractual requirements, regulatory standards and ethical considerations, we could be liable for significant costs or penalties and our reputation could be harmed.</w:t>
      </w:r>
    </w:p>
    <w:p>
      <w:pPr>
        <w:spacing w:after="0" w:line="64" w:lineRule="exact"/>
        <w:rPr>
          <w:rFonts w:ascii="Times New Roman" w:cs="Times New Roman" w:eastAsia="Times New Roman" w:hAnsi="Times New Roman"/>
          <w:sz w:val="20"/>
          <w:szCs w:val="20"/>
          <w:color w:val="auto"/>
        </w:rPr>
      </w:pPr>
    </w:p>
    <w:p>
      <w:pPr>
        <w:ind w:left="580" w:hanging="410"/>
        <w:spacing w:after="0" w:line="283" w:lineRule="auto"/>
        <w:tabs>
          <w:tab w:leader="none" w:pos="5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loss of one or more of our major customers could materially and adversely affect our business, results of operations and/or financial condition.</w:t>
      </w:r>
    </w:p>
    <w:p>
      <w:pPr>
        <w:spacing w:after="0" w:line="38" w:lineRule="exact"/>
        <w:rPr>
          <w:rFonts w:ascii="Times New Roman" w:cs="Times New Roman" w:eastAsia="Times New Roman" w:hAnsi="Times New Roman"/>
          <w:sz w:val="20"/>
          <w:szCs w:val="20"/>
          <w:color w:val="auto"/>
        </w:rPr>
      </w:pPr>
    </w:p>
    <w:p>
      <w:pPr>
        <w:jc w:val="both"/>
        <w:ind w:left="580" w:hanging="410"/>
        <w:spacing w:after="0" w:line="261" w:lineRule="auto"/>
        <w:tabs>
          <w:tab w:leader="none" w:pos="5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need additional funding. If we are unable to raise additional capital on terms acceptable to us or at all or generate cash flows necessary to maintain or expand our operations, we may not be able to compete successfully, which would harm our business, results of operations, and financial condition.</w:t>
      </w:r>
    </w:p>
    <w:p>
      <w:pPr>
        <w:spacing w:after="0" w:line="73" w:lineRule="exact"/>
        <w:rPr>
          <w:rFonts w:ascii="Times New Roman" w:cs="Times New Roman" w:eastAsia="Times New Roman" w:hAnsi="Times New Roman"/>
          <w:sz w:val="20"/>
          <w:szCs w:val="20"/>
          <w:color w:val="auto"/>
        </w:rPr>
      </w:pPr>
    </w:p>
    <w:p>
      <w:pPr>
        <w:ind w:left="580" w:hanging="410"/>
        <w:spacing w:after="0" w:line="283" w:lineRule="auto"/>
        <w:tabs>
          <w:tab w:leader="none" w:pos="5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bookings might not accurately predict our future revenue, and we might not realize all or any part of the anticipated revenue reflected in our bookings.</w:t>
      </w:r>
    </w:p>
    <w:p>
      <w:pPr>
        <w:spacing w:after="0" w:line="38" w:lineRule="exact"/>
        <w:rPr>
          <w:rFonts w:ascii="Times New Roman" w:cs="Times New Roman" w:eastAsia="Times New Roman" w:hAnsi="Times New Roman"/>
          <w:sz w:val="20"/>
          <w:szCs w:val="20"/>
          <w:color w:val="auto"/>
        </w:rPr>
      </w:pPr>
    </w:p>
    <w:p>
      <w:pPr>
        <w:ind w:left="580" w:hanging="410"/>
        <w:spacing w:after="0" w:line="283" w:lineRule="auto"/>
        <w:tabs>
          <w:tab w:leader="none" w:pos="5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the Foreign Corrupt Practices Act (“FCPA”) and the U.K. Bribery Act of 2010 (“U.K. Bribery Act”) and similar anti-corruption laws and regulations in other countries.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80" w:hanging="410"/>
        <w:spacing w:after="0" w:line="283" w:lineRule="auto"/>
        <w:tabs>
          <w:tab w:leader="none" w:pos="56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may be subject to risks arising from catastrophic events, including natural disasters, significant or extreme weather events, outbreaks of war or terrorism, epidemic diseases, pandemics, and public health crises.</w:t>
      </w:r>
    </w:p>
    <w:p>
      <w:pPr>
        <w:spacing w:after="0" w:line="38" w:lineRule="exact"/>
        <w:rPr>
          <w:rFonts w:ascii="Times New Roman" w:cs="Times New Roman" w:eastAsia="Times New Roman" w:hAnsi="Times New Roman"/>
          <w:sz w:val="20"/>
          <w:szCs w:val="20"/>
          <w:color w:val="auto"/>
        </w:rPr>
      </w:pPr>
    </w:p>
    <w:p>
      <w:pPr>
        <w:ind w:left="580" w:hanging="410"/>
        <w:spacing w:after="0" w:line="283" w:lineRule="auto"/>
        <w:tabs>
          <w:tab w:leader="none" w:pos="56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upon third-party providers of cloud-based infrastructure to host our software solutions. Any disruption in the operations of these third-party providers, limitations on capacity or interference with our use could adversely affect our business.</w:t>
      </w:r>
    </w:p>
    <w:p>
      <w:pPr>
        <w:spacing w:after="0" w:line="38" w:lineRule="exact"/>
        <w:rPr>
          <w:rFonts w:ascii="Times New Roman" w:cs="Times New Roman" w:eastAsia="Times New Roman" w:hAnsi="Times New Roman"/>
          <w:sz w:val="20"/>
          <w:szCs w:val="20"/>
          <w:color w:val="auto"/>
        </w:rPr>
      </w:pPr>
    </w:p>
    <w:p>
      <w:pPr>
        <w:jc w:val="both"/>
        <w:ind w:left="580" w:hanging="410"/>
        <w:spacing w:after="0" w:line="268" w:lineRule="auto"/>
        <w:tabs>
          <w:tab w:leader="none" w:pos="56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cybersecurity measures are breached or unauthorized access to customer or other proprietary data is otherwise obtained, customers may reduce the use of or stop using our solutions and we may incur significant liabilities and/or loss of customer confidence.</w:t>
      </w:r>
    </w:p>
    <w:p>
      <w:pPr>
        <w:spacing w:after="0" w:line="53" w:lineRule="exact"/>
        <w:rPr>
          <w:rFonts w:ascii="Times New Roman" w:cs="Times New Roman" w:eastAsia="Times New Roman" w:hAnsi="Times New Roman"/>
          <w:sz w:val="20"/>
          <w:szCs w:val="20"/>
          <w:color w:val="auto"/>
        </w:rPr>
      </w:pPr>
    </w:p>
    <w:p>
      <w:pPr>
        <w:ind w:left="580" w:hanging="410"/>
        <w:spacing w:after="0" w:line="283" w:lineRule="auto"/>
        <w:tabs>
          <w:tab w:leader="none" w:pos="56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numerous privacy and data security laws and related contractual requirements and our failure to comply with those obligations could cause us significant harm.</w:t>
      </w:r>
    </w:p>
    <w:p>
      <w:pPr>
        <w:spacing w:after="0" w:line="38" w:lineRule="exact"/>
        <w:rPr>
          <w:rFonts w:ascii="Times New Roman" w:cs="Times New Roman" w:eastAsia="Times New Roman" w:hAnsi="Times New Roman"/>
          <w:sz w:val="20"/>
          <w:szCs w:val="20"/>
          <w:color w:val="auto"/>
        </w:rPr>
      </w:pPr>
    </w:p>
    <w:p>
      <w:pPr>
        <w:jc w:val="both"/>
        <w:ind w:left="580" w:hanging="410"/>
        <w:spacing w:after="0" w:line="268" w:lineRule="auto"/>
        <w:tabs>
          <w:tab w:leader="none" w:pos="56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not able to reliably meet our data storage and management or other information technology requirements, or if we experience any technology failures in the delivery of our services over the internet or in the administration of our business, customer satisfaction and our reputation could be harmed and customer contracts may be terminated.</w:t>
      </w:r>
    </w:p>
    <w:p>
      <w:pPr>
        <w:spacing w:after="0" w:line="53" w:lineRule="exact"/>
        <w:rPr>
          <w:rFonts w:ascii="Times New Roman" w:cs="Times New Roman" w:eastAsia="Times New Roman" w:hAnsi="Times New Roman"/>
          <w:sz w:val="20"/>
          <w:szCs w:val="20"/>
          <w:color w:val="auto"/>
        </w:rPr>
      </w:pPr>
    </w:p>
    <w:p>
      <w:pPr>
        <w:ind w:left="580" w:hanging="410"/>
        <w:spacing w:after="0" w:line="283" w:lineRule="auto"/>
        <w:tabs>
          <w:tab w:leader="none" w:pos="56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software solutions utilize third-party open-source software, and any failure to comply with the terms of one or more of these open-source licenses could adversely affect our business.</w:t>
      </w:r>
    </w:p>
    <w:p>
      <w:pPr>
        <w:spacing w:after="0" w:line="38" w:lineRule="exact"/>
        <w:rPr>
          <w:rFonts w:ascii="Times New Roman" w:cs="Times New Roman" w:eastAsia="Times New Roman" w:hAnsi="Times New Roman"/>
          <w:sz w:val="20"/>
          <w:szCs w:val="20"/>
          <w:color w:val="auto"/>
        </w:rPr>
      </w:pPr>
    </w:p>
    <w:p>
      <w:pPr>
        <w:ind w:left="560" w:hanging="390"/>
        <w:spacing w:after="0"/>
        <w:tabs>
          <w:tab w:leader="none" w:pos="5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adequately enforce or defend our ownership and use of our intellectual property and other proprietary rights.</w:t>
      </w:r>
    </w:p>
    <w:p>
      <w:pPr>
        <w:spacing w:after="0" w:line="121" w:lineRule="exact"/>
        <w:rPr>
          <w:rFonts w:ascii="Times New Roman" w:cs="Times New Roman" w:eastAsia="Times New Roman" w:hAnsi="Times New Roman"/>
          <w:sz w:val="20"/>
          <w:szCs w:val="20"/>
          <w:color w:val="auto"/>
        </w:rPr>
      </w:pPr>
    </w:p>
    <w:p>
      <w:pPr>
        <w:ind w:left="580" w:hanging="410"/>
        <w:spacing w:after="0" w:line="283" w:lineRule="auto"/>
        <w:tabs>
          <w:tab w:leader="none" w:pos="56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parties may initiate legal proceedings alleging that we are infringing their intellectual property rights, which could have a material adverse effect on our business.</w:t>
      </w:r>
    </w:p>
    <w:p>
      <w:pPr>
        <w:spacing w:after="0" w:line="38" w:lineRule="exact"/>
        <w:rPr>
          <w:rFonts w:ascii="Times New Roman" w:cs="Times New Roman" w:eastAsia="Times New Roman" w:hAnsi="Times New Roman"/>
          <w:sz w:val="20"/>
          <w:szCs w:val="20"/>
          <w:color w:val="auto"/>
        </w:rPr>
      </w:pPr>
    </w:p>
    <w:p>
      <w:pPr>
        <w:ind w:left="560" w:hanging="390"/>
        <w:spacing w:after="0"/>
        <w:tabs>
          <w:tab w:leader="none" w:pos="5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indebtedness could materially adversely affect our financial condition and our ability to operate our business.</w:t>
      </w:r>
    </w:p>
    <w:p>
      <w:pPr>
        <w:spacing w:after="0" w:line="121" w:lineRule="exact"/>
        <w:rPr>
          <w:rFonts w:ascii="Times New Roman" w:cs="Times New Roman" w:eastAsia="Times New Roman" w:hAnsi="Times New Roman"/>
          <w:sz w:val="20"/>
          <w:szCs w:val="20"/>
          <w:color w:val="auto"/>
        </w:rPr>
      </w:pPr>
    </w:p>
    <w:p>
      <w:pPr>
        <w:ind w:left="560" w:hanging="390"/>
        <w:spacing w:after="0"/>
        <w:tabs>
          <w:tab w:leader="none" w:pos="5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of goodwill and other tangible assets may adversely impact future results of operations.</w:t>
      </w:r>
    </w:p>
    <w:p>
      <w:pPr>
        <w:spacing w:after="0" w:line="107" w:lineRule="exact"/>
        <w:rPr>
          <w:rFonts w:ascii="Times New Roman" w:cs="Times New Roman" w:eastAsia="Times New Roman" w:hAnsi="Times New Roman"/>
          <w:sz w:val="20"/>
          <w:szCs w:val="20"/>
          <w:color w:val="auto"/>
        </w:rPr>
      </w:pPr>
    </w:p>
    <w:p>
      <w:pPr>
        <w:jc w:val="both"/>
        <w:ind w:left="580" w:hanging="410"/>
        <w:spacing w:after="0" w:line="261" w:lineRule="auto"/>
        <w:tabs>
          <w:tab w:leader="none" w:pos="56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other factors described elsewhere in this Quarterly Report, in our Annual Report on Form 10-K for the fiscal year ended December 31, 2025 (“2025 Annual Report”), and in the other documents and reports we file with the Securities and Exchange Commission (the “SEC”).</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You should not rely upon forward-looking statements as predictions of future events. The forward-looking statements in this Quarterly Report are based on our beliefs, assumptions and expectations of future performance, taking into account the information currently available to us. There are important factors, including those described in this Quarterly Report, in the section titled “Risk Factors” in our most recent Annual Report, and in our subsequent SEC filings, which could cause our actual results, level of activity, performance or achievements to differ materially from the results, level of activity, performance or achievements expressed or implied by the forward-looking statements.</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forward-looking statements made in this Quarterly Report relate only to events as of the date on which the statements are made. Except as required by law, we undertake no obligation to update publicly any forward-looking statements for any reason after the date of this Quarterly Report to conform these statements to actual results or to changes in our expectations.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Channels for Disclosure of Information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Investors and others should note that we may announce material information to the public through filings with the SEC, our Investors Relations website (https://ir.certara.com), press releases, public conference calls and public webcasts. We use these channels to communicate with the public about the Company, our products, our services and other matters. We have used, and intend to continue to use, our Investor Relations website and our</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corporate website located at www.certara.com as a means of disclosing material non-public information and for complying with our disclosure obligations under Regulation FD. We encourage our investors, the media and others to review the information disclosed through these channels as such information could be deemed to be material information. The information on or available through such channels, including on our website, is not incorporated by reference in this Quarterly Report and shall not be deemed to be incorporated by reference into any other filing under the Securities Act or the Exchange Act, except as expressly set forth by specific reference in such a filing. This list of disclosure channels may be updated from time to time.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CERTARA, INC. AND SUBSIDIARIES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Item</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20" w:type="dxa"/>
            <w:vAlign w:val="bottom"/>
            <w:gridSpan w:val="9"/>
            <w:vMerge w:val="restart"/>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20" w:type="dxa"/>
            <w:vAlign w:val="bottom"/>
            <w:gridSpan w:val="9"/>
            <w:vMerge w:val="continue"/>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gridSpan w:val="5"/>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0000FF"/>
              </w:rPr>
              <w:t>1.</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4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4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w:t>
            </w: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5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92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4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for the three months ended March</w:t>
            </w: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700" w:type="dxa"/>
            <w:vAlign w:val="bottom"/>
            <w:tcBorders>
              <w:top w:val="single" w:sz="8" w:color="0000FF"/>
            </w:tcBorders>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31, 2026 and 2025</w:t>
            </w:r>
          </w:p>
        </w:tc>
        <w:tc>
          <w:tcPr>
            <w:tcW w:w="34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4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2026 and 2025</w:t>
            </w: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5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9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120" w:type="dxa"/>
            <w:vAlign w:val="bottom"/>
            <w:tcBorders>
              <w:top w:val="single" w:sz="8" w:color="0000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4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5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9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120" w:type="dxa"/>
            <w:vAlign w:val="bottom"/>
            <w:tcBorders>
              <w:top w:val="single" w:sz="8" w:color="0000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4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560" w:type="dxa"/>
            <w:vAlign w:val="bottom"/>
            <w:tcBorders>
              <w:top w:val="single" w:sz="8" w:color="0000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0" w:type="dxa"/>
            <w:vAlign w:val="bottom"/>
            <w:gridSpan w:val="5"/>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0000FF"/>
              </w:rPr>
              <w:t>2.</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4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5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9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0" w:type="dxa"/>
            <w:vAlign w:val="bottom"/>
            <w:gridSpan w:val="5"/>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0000FF"/>
              </w:rPr>
              <w:t>3.</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4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5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0" w:type="dxa"/>
            <w:vAlign w:val="bottom"/>
            <w:gridSpan w:val="5"/>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0000FF"/>
              </w:rPr>
              <w:t>4.</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4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gridSpan w:val="9"/>
            <w:shd w:val="clear" w:color="auto" w:fill="CCEEFF"/>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0" w:type="dxa"/>
            <w:vAlign w:val="bottom"/>
            <w:gridSpan w:val="5"/>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0000FF"/>
              </w:rPr>
              <w:t>1.</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4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20" w:type="dxa"/>
            <w:vAlign w:val="bottom"/>
            <w:gridSpan w:val="7"/>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0000FF"/>
              </w:rPr>
              <w:t>1A.</w:t>
            </w:r>
          </w:p>
        </w:tc>
        <w:tc>
          <w:tcPr>
            <w:tcW w:w="904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0" w:type="dxa"/>
            <w:vAlign w:val="bottom"/>
            <w:gridSpan w:val="4"/>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0000FF"/>
                <w:w w:val="73"/>
              </w:rPr>
              <w:t>2</w:t>
            </w:r>
            <w:r>
              <w:rPr>
                <w:rFonts w:ascii="Times New Roman" w:cs="Times New Roman" w:eastAsia="Times New Roman" w:hAnsi="Times New Roman"/>
                <w:sz w:val="18"/>
                <w:szCs w:val="18"/>
                <w:color w:val="000000"/>
                <w:w w:val="73"/>
              </w:rPr>
              <w:t>.</w:t>
            </w: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4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5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0" w:type="dxa"/>
            <w:vAlign w:val="bottom"/>
            <w:gridSpan w:val="5"/>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0000FF"/>
              </w:rPr>
              <w:t>3.</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4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0" w:type="dxa"/>
            <w:vAlign w:val="bottom"/>
            <w:gridSpan w:val="5"/>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0000FF"/>
              </w:rPr>
              <w:t>4.</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4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0" w:type="dxa"/>
            <w:vAlign w:val="bottom"/>
            <w:gridSpan w:val="5"/>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0000FF"/>
              </w:rPr>
              <w:t>5.</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4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0" w:type="dxa"/>
            <w:vAlign w:val="bottom"/>
            <w:gridSpan w:val="5"/>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0000FF"/>
              </w:rPr>
              <w:t>6.</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4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0" w:type="dxa"/>
            <w:vAlign w:val="bottom"/>
            <w:gridSpan w:val="8"/>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8"/>
              </w:rPr>
              <w:t>SIGNATURES</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CERTARA, INC. AND SUBSIDIARIES</w:t>
      </w:r>
    </w:p>
    <w:p>
      <w:pPr>
        <w:spacing w:after="0" w:line="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6"/>
                <w:szCs w:val="16"/>
                <w:color w:val="auto"/>
              </w:rPr>
            </w:pP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18"/>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 SHARE AND SHARE DATA)</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21"/>
        </w:trPr>
        <w:tc>
          <w:tcPr>
            <w:tcW w:w="76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149,484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189,392</w:t>
            </w:r>
          </w:p>
        </w:tc>
        <w:tc>
          <w:tcPr>
            <w:tcW w:w="0" w:type="dxa"/>
            <w:vAlign w:val="bottom"/>
          </w:tcPr>
          <w:p>
            <w:pPr>
              <w:spacing w:after="0"/>
              <w:rPr>
                <w:sz w:val="1"/>
                <w:szCs w:val="1"/>
                <w:color w:val="auto"/>
              </w:rPr>
            </w:pPr>
          </w:p>
        </w:tc>
      </w:tr>
      <w:tr>
        <w:trPr>
          <w:trHeight w:val="233"/>
        </w:trPr>
        <w:tc>
          <w:tcPr>
            <w:tcW w:w="7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$2,300 and $2,235, respectively</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96,072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103,525</w:t>
            </w:r>
          </w:p>
        </w:tc>
        <w:tc>
          <w:tcPr>
            <w:tcW w:w="0" w:type="dxa"/>
            <w:vAlign w:val="bottom"/>
          </w:tcPr>
          <w:p>
            <w:pPr>
              <w:spacing w:after="0"/>
              <w:rPr>
                <w:sz w:val="1"/>
                <w:szCs w:val="1"/>
                <w:color w:val="auto"/>
              </w:rPr>
            </w:pPr>
          </w:p>
        </w:tc>
      </w:tr>
      <w:tr>
        <w:trPr>
          <w:trHeight w:val="246"/>
        </w:trPr>
        <w:tc>
          <w:tcPr>
            <w:tcW w:w="7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25,004</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22,202</w:t>
            </w:r>
          </w:p>
        </w:tc>
        <w:tc>
          <w:tcPr>
            <w:tcW w:w="0" w:type="dxa"/>
            <w:vAlign w:val="bottom"/>
          </w:tcPr>
          <w:p>
            <w:pPr>
              <w:spacing w:after="0"/>
              <w:rPr>
                <w:sz w:val="1"/>
                <w:szCs w:val="1"/>
                <w:color w:val="auto"/>
              </w:rPr>
            </w:pPr>
          </w:p>
        </w:tc>
      </w:tr>
      <w:tr>
        <w:trPr>
          <w:trHeight w:val="233"/>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315,119</w:t>
            </w: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11,939</w:t>
            </w:r>
          </w:p>
        </w:tc>
        <w:tc>
          <w:tcPr>
            <w:tcW w:w="0" w:type="dxa"/>
            <w:vAlign w:val="bottom"/>
          </w:tcPr>
          <w:p>
            <w:pPr>
              <w:spacing w:after="0"/>
              <w:rPr>
                <w:sz w:val="1"/>
                <w:szCs w:val="1"/>
                <w:color w:val="auto"/>
              </w:rPr>
            </w:pPr>
          </w:p>
        </w:tc>
      </w:tr>
      <w:tr>
        <w:trPr>
          <w:trHeight w:val="233"/>
        </w:trPr>
        <w:tc>
          <w:tcPr>
            <w:tcW w:w="7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770,761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773,311</w:t>
            </w: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Intangible assets, net of accumulated amortization of $433,365 and $415,804, respectively</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433,255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447,476</w:t>
            </w:r>
          </w:p>
        </w:tc>
        <w:tc>
          <w:tcPr>
            <w:tcW w:w="0" w:type="dxa"/>
            <w:vAlign w:val="bottom"/>
          </w:tcPr>
          <w:p>
            <w:pPr>
              <w:spacing w:after="0"/>
              <w:rPr>
                <w:sz w:val="1"/>
                <w:szCs w:val="1"/>
                <w:color w:val="auto"/>
              </w:rPr>
            </w:pPr>
          </w:p>
        </w:tc>
      </w:tr>
      <w:tr>
        <w:trPr>
          <w:trHeight w:val="233"/>
        </w:trPr>
        <w:tc>
          <w:tcPr>
            <w:tcW w:w="7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5,242</w:t>
            </w:r>
          </w:p>
        </w:tc>
        <w:tc>
          <w:tcPr>
            <w:tcW w:w="0" w:type="dxa"/>
            <w:vAlign w:val="bottom"/>
          </w:tcPr>
          <w:p>
            <w:pPr>
              <w:spacing w:after="0"/>
              <w:rPr>
                <w:sz w:val="1"/>
                <w:szCs w:val="1"/>
                <w:color w:val="auto"/>
              </w:rPr>
            </w:pPr>
          </w:p>
        </w:tc>
      </w:tr>
      <w:tr>
        <w:trPr>
          <w:trHeight w:val="246"/>
        </w:trPr>
        <w:tc>
          <w:tcPr>
            <w:tcW w:w="7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0" w:type="dxa"/>
            <w:vAlign w:val="bottom"/>
          </w:tcPr>
          <w:p>
            <w:pPr>
              <w:spacing w:after="0"/>
              <w:rPr>
                <w:sz w:val="1"/>
                <w:szCs w:val="1"/>
                <w:color w:val="auto"/>
              </w:rPr>
            </w:pPr>
          </w:p>
        </w:tc>
      </w:tr>
      <w:tr>
        <w:trPr>
          <w:trHeight w:val="243"/>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1,500,368</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1,556,582</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0" w:type="dxa"/>
            <w:vAlign w:val="bottom"/>
          </w:tcPr>
          <w:p>
            <w:pPr>
              <w:spacing w:after="0"/>
              <w:rPr>
                <w:sz w:val="1"/>
                <w:szCs w:val="1"/>
                <w:color w:val="auto"/>
              </w:rPr>
            </w:pPr>
          </w:p>
        </w:tc>
      </w:tr>
      <w:tr>
        <w:trPr>
          <w:trHeight w:val="233"/>
        </w:trPr>
        <w:tc>
          <w:tcPr>
            <w:tcW w:w="7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Accrued expenses</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57,286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67,131</w:t>
            </w: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76,480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75,412</w:t>
            </w:r>
          </w:p>
        </w:tc>
        <w:tc>
          <w:tcPr>
            <w:tcW w:w="0" w:type="dxa"/>
            <w:vAlign w:val="bottom"/>
          </w:tcPr>
          <w:p>
            <w:pPr>
              <w:spacing w:after="0"/>
              <w:rPr>
                <w:sz w:val="1"/>
                <w:szCs w:val="1"/>
                <w:color w:val="auto"/>
              </w:rPr>
            </w:pPr>
          </w:p>
        </w:tc>
      </w:tr>
      <w:tr>
        <w:trPr>
          <w:trHeight w:val="233"/>
        </w:trPr>
        <w:tc>
          <w:tcPr>
            <w:tcW w:w="7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0" w:type="dxa"/>
            <w:vAlign w:val="bottom"/>
          </w:tcPr>
          <w:p>
            <w:pPr>
              <w:spacing w:after="0"/>
              <w:rPr>
                <w:sz w:val="1"/>
                <w:szCs w:val="1"/>
                <w:color w:val="auto"/>
              </w:rPr>
            </w:pPr>
          </w:p>
        </w:tc>
      </w:tr>
      <w:tr>
        <w:trPr>
          <w:trHeight w:val="246"/>
        </w:trPr>
        <w:tc>
          <w:tcPr>
            <w:tcW w:w="7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3,703</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4,453</w:t>
            </w:r>
          </w:p>
        </w:tc>
        <w:tc>
          <w:tcPr>
            <w:tcW w:w="0" w:type="dxa"/>
            <w:vAlign w:val="bottom"/>
          </w:tcPr>
          <w:p>
            <w:pPr>
              <w:spacing w:after="0"/>
              <w:rPr>
                <w:sz w:val="1"/>
                <w:szCs w:val="1"/>
                <w:color w:val="auto"/>
              </w:rPr>
            </w:pPr>
          </w:p>
        </w:tc>
      </w:tr>
      <w:tr>
        <w:trPr>
          <w:trHeight w:val="233"/>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153,385</w:t>
            </w: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34,366</w:t>
            </w:r>
          </w:p>
        </w:tc>
        <w:tc>
          <w:tcPr>
            <w:tcW w:w="0" w:type="dxa"/>
            <w:vAlign w:val="bottom"/>
          </w:tcPr>
          <w:p>
            <w:pPr>
              <w:spacing w:after="0"/>
              <w:rPr>
                <w:sz w:val="1"/>
                <w:szCs w:val="1"/>
                <w:color w:val="auto"/>
              </w:rPr>
            </w:pPr>
          </w:p>
        </w:tc>
      </w:tr>
      <w:tr>
        <w:trPr>
          <w:trHeight w:val="233"/>
        </w:trPr>
        <w:tc>
          <w:tcPr>
            <w:tcW w:w="7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8,438</w:t>
            </w: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Long-term debt, net of current portion and debt discount</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289,504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290,131</w:t>
            </w: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4,062</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5,117</w:t>
            </w:r>
          </w:p>
        </w:tc>
        <w:tc>
          <w:tcPr>
            <w:tcW w:w="0" w:type="dxa"/>
            <w:vAlign w:val="bottom"/>
          </w:tcPr>
          <w:p>
            <w:pPr>
              <w:spacing w:after="0"/>
              <w:rPr>
                <w:sz w:val="1"/>
                <w:szCs w:val="1"/>
                <w:color w:val="auto"/>
              </w:rPr>
            </w:pPr>
          </w:p>
        </w:tc>
      </w:tr>
      <w:tr>
        <w:trPr>
          <w:trHeight w:val="243"/>
        </w:trPr>
        <w:tc>
          <w:tcPr>
            <w:tcW w:w="7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483,324</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493,787</w:t>
            </w:r>
          </w:p>
        </w:tc>
        <w:tc>
          <w:tcPr>
            <w:tcW w:w="0" w:type="dxa"/>
            <w:vAlign w:val="bottom"/>
          </w:tcPr>
          <w:p>
            <w:pPr>
              <w:spacing w:after="0"/>
              <w:rPr>
                <w:sz w:val="1"/>
                <w:szCs w:val="1"/>
                <w:color w:val="auto"/>
              </w:rPr>
            </w:pPr>
          </w:p>
        </w:tc>
      </w:tr>
      <w:tr>
        <w:trPr>
          <w:trHeight w:val="21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(refer to note 9)</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Preferred shares, $0.01 par value, 50,000,000 shares authorized, no shares issued and outstanding as of March 31,</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2026 and December 31, 2025, respectively</w:t>
            </w:r>
          </w:p>
        </w:tc>
        <w:tc>
          <w:tcPr>
            <w:tcW w:w="16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shares, $0.01 par value, 600,000,000 shares authorized, 164,005,450 shares issued as of both March 31,</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2026 and December 31, 2025; 153,325,078 and 159,139,562 shares outstanding as of March 31, 2026 and</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December 31, 2025, respectively</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0" w:type="dxa"/>
            <w:vAlign w:val="bottom"/>
          </w:tcPr>
          <w:p>
            <w:pPr>
              <w:spacing w:after="0"/>
              <w:rPr>
                <w:sz w:val="1"/>
                <w:szCs w:val="1"/>
                <w:color w:val="auto"/>
              </w:rPr>
            </w:pPr>
          </w:p>
        </w:tc>
      </w:tr>
      <w:tr>
        <w:trPr>
          <w:trHeight w:val="233"/>
        </w:trPr>
        <w:tc>
          <w:tcPr>
            <w:tcW w:w="7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1,262,973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1,255,653</w:t>
            </w: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(138,639)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(129,876)</w:t>
            </w:r>
          </w:p>
        </w:tc>
        <w:tc>
          <w:tcPr>
            <w:tcW w:w="0" w:type="dxa"/>
            <w:vAlign w:val="bottom"/>
          </w:tcPr>
          <w:p>
            <w:pPr>
              <w:spacing w:after="0"/>
              <w:rPr>
                <w:sz w:val="1"/>
                <w:szCs w:val="1"/>
                <w:color w:val="auto"/>
              </w:rPr>
            </w:pPr>
          </w:p>
        </w:tc>
      </w:tr>
      <w:tr>
        <w:trPr>
          <w:trHeight w:val="233"/>
        </w:trPr>
        <w:tc>
          <w:tcPr>
            <w:tcW w:w="7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0" w:type="dxa"/>
            <w:vAlign w:val="bottom"/>
          </w:tcPr>
          <w:p>
            <w:pPr>
              <w:spacing w:after="0"/>
              <w:rPr>
                <w:sz w:val="1"/>
                <w:szCs w:val="1"/>
                <w:color w:val="auto"/>
              </w:rPr>
            </w:pPr>
          </w:p>
        </w:tc>
      </w:tr>
      <w:tr>
        <w:trPr>
          <w:trHeight w:val="246"/>
        </w:trPr>
        <w:tc>
          <w:tcPr>
            <w:tcW w:w="7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Treasury stock at cost, 10,680,372 and 4,865,888 shares at March 31, 2026 and December 31, 2025, respectively</w:t>
            </w:r>
          </w:p>
        </w:tc>
        <w:tc>
          <w:tcPr>
            <w:tcW w:w="1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(107,062)</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(66,663)</w:t>
            </w:r>
          </w:p>
        </w:tc>
        <w:tc>
          <w:tcPr>
            <w:tcW w:w="0" w:type="dxa"/>
            <w:vAlign w:val="bottom"/>
          </w:tcPr>
          <w:p>
            <w:pPr>
              <w:spacing w:after="0"/>
              <w:rPr>
                <w:sz w:val="1"/>
                <w:szCs w:val="1"/>
                <w:color w:val="auto"/>
              </w:rPr>
            </w:pPr>
          </w:p>
        </w:tc>
      </w:tr>
      <w:tr>
        <w:trPr>
          <w:trHeight w:val="236"/>
        </w:trPr>
        <w:tc>
          <w:tcPr>
            <w:tcW w:w="77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1,017,044</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1,062,795</w:t>
            </w:r>
          </w:p>
        </w:tc>
        <w:tc>
          <w:tcPr>
            <w:tcW w:w="0" w:type="dxa"/>
            <w:vAlign w:val="bottom"/>
          </w:tcPr>
          <w:p>
            <w:pPr>
              <w:spacing w:after="0"/>
              <w:rPr>
                <w:sz w:val="1"/>
                <w:szCs w:val="1"/>
                <w:color w:val="auto"/>
              </w:rPr>
            </w:pPr>
          </w:p>
        </w:tc>
      </w:tr>
      <w:tr>
        <w:trPr>
          <w:trHeight w:val="268"/>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1,500,368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1,556,582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The accompanying notes are an integral part of the condensed consolidated financial statements.</w:t>
      </w:r>
    </w:p>
    <w:p>
      <w:pPr>
        <w:sectPr>
          <w:pgSz w:w="11900" w:h="16838" w:orient="portrait"/>
          <w:cols w:equalWidth="0" w:num="1">
            <w:col w:w="11200"/>
          </w:cols>
          <w:pgMar w:left="320" w:top="104" w:right="379"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793"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line="326" w:lineRule="auto"/>
        <w:rPr>
          <w:sz w:val="20"/>
          <w:szCs w:val="20"/>
          <w:color w:val="auto"/>
        </w:rPr>
      </w:pPr>
      <w:r>
        <w:rPr>
          <w:rFonts w:ascii="Times New Roman" w:cs="Times New Roman" w:eastAsia="Times New Roman" w:hAnsi="Times New Roman"/>
          <w:sz w:val="20"/>
          <w:szCs w:val="20"/>
          <w:b w:val="1"/>
          <w:bCs w:val="1"/>
          <w:color w:val="auto"/>
        </w:rPr>
        <w:t>CERTARA, INC. AND SUBSIDIARIES CONDENSED CONSOLIDATED STATEMENTS OF OPERATIONS AND COMPREHENSIVE INCOME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4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7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AND SHARE DATA)</w:t>
            </w:r>
          </w:p>
        </w:tc>
        <w:tc>
          <w:tcPr>
            <w:tcW w:w="4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2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106,915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106,004</w:t>
            </w:r>
          </w:p>
        </w:tc>
        <w:tc>
          <w:tcPr>
            <w:tcW w:w="0" w:type="dxa"/>
            <w:vAlign w:val="bottom"/>
          </w:tcPr>
          <w:p>
            <w:pPr>
              <w:spacing w:after="0"/>
              <w:rPr>
                <w:sz w:val="1"/>
                <w:szCs w:val="1"/>
                <w:color w:val="auto"/>
              </w:rPr>
            </w:pPr>
          </w:p>
        </w:tc>
      </w:tr>
      <w:tr>
        <w:trPr>
          <w:trHeight w:val="24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41,521</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0" w:type="dxa"/>
            <w:vAlign w:val="bottom"/>
          </w:tcPr>
          <w:p>
            <w:pPr>
              <w:spacing w:after="0"/>
              <w:rPr>
                <w:sz w:val="1"/>
                <w:szCs w:val="1"/>
                <w:color w:val="auto"/>
              </w:rPr>
            </w:pPr>
          </w:p>
        </w:tc>
      </w:tr>
      <w:tr>
        <w:trPr>
          <w:trHeight w:val="243"/>
        </w:trPr>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14,582</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0" w:type="dxa"/>
            <w:vAlign w:val="bottom"/>
          </w:tcPr>
          <w:p>
            <w:pPr>
              <w:spacing w:after="0"/>
              <w:rPr>
                <w:sz w:val="1"/>
                <w:szCs w:val="1"/>
                <w:color w:val="auto"/>
              </w:rPr>
            </w:pPr>
          </w:p>
        </w:tc>
      </w:tr>
      <w:tr>
        <w:trPr>
          <w:trHeight w:val="237"/>
        </w:trPr>
        <w:tc>
          <w:tcPr>
            <w:tcW w:w="7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69,600</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56,860</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0" w:type="dxa"/>
            <w:vAlign w:val="bottom"/>
          </w:tcPr>
          <w:p>
            <w:pPr>
              <w:spacing w:after="0"/>
              <w:rPr>
                <w:sz w:val="1"/>
                <w:szCs w:val="1"/>
                <w:color w:val="auto"/>
              </w:rPr>
            </w:pPr>
          </w:p>
        </w:tc>
      </w:tr>
      <w:tr>
        <w:trPr>
          <w:trHeight w:val="237"/>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4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0" w:type="dxa"/>
            <w:vAlign w:val="bottom"/>
          </w:tcPr>
          <w:p>
            <w:pPr>
              <w:spacing w:after="0"/>
              <w:rPr>
                <w:sz w:val="1"/>
                <w:szCs w:val="1"/>
                <w:color w:val="auto"/>
              </w:rPr>
            </w:pPr>
          </w:p>
        </w:tc>
      </w:tr>
      <w:tr>
        <w:trPr>
          <w:trHeight w:val="243"/>
        </w:trPr>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other income</w:t>
            </w: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expenses</w:t>
            </w:r>
          </w:p>
        </w:tc>
        <w:tc>
          <w:tcPr>
            <w:tcW w:w="4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0" w:type="dxa"/>
            <w:vAlign w:val="bottom"/>
          </w:tcPr>
          <w:p>
            <w:pPr>
              <w:spacing w:after="0"/>
              <w:rPr>
                <w:sz w:val="1"/>
                <w:szCs w:val="1"/>
                <w:color w:val="auto"/>
              </w:rPr>
            </w:pPr>
          </w:p>
        </w:tc>
      </w:tr>
      <w:tr>
        <w:trPr>
          <w:trHeight w:val="237"/>
        </w:trPr>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7"/>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4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 net of tax of $338 and $(110), respectively</w:t>
            </w: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from interest rate swap, net of tax of $408 and $(208), respectively</w:t>
            </w: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37"/>
        </w:trPr>
        <w:tc>
          <w:tcPr>
            <w:tcW w:w="7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4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4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4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157,754,647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160,996,258</w:t>
            </w:r>
          </w:p>
        </w:tc>
        <w:tc>
          <w:tcPr>
            <w:tcW w:w="0" w:type="dxa"/>
            <w:vAlign w:val="bottom"/>
          </w:tcPr>
          <w:p>
            <w:pPr>
              <w:spacing w:after="0"/>
              <w:rPr>
                <w:sz w:val="1"/>
                <w:szCs w:val="1"/>
                <w:color w:val="auto"/>
              </w:rPr>
            </w:pPr>
          </w:p>
        </w:tc>
      </w:tr>
      <w:tr>
        <w:trPr>
          <w:trHeight w:val="243"/>
        </w:trPr>
        <w:tc>
          <w:tcPr>
            <w:tcW w:w="7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157,754,647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161,350,292</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 condensed consolidated financial statements.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 w:name="page10"/>
    <w:bookmarkEnd w:id="9"/>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CERTARA, INC. AND SUBSIDIARIES</w:t>
      </w:r>
    </w:p>
    <w:p>
      <w:pPr>
        <w:spacing w:after="0" w:line="3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STOCKHOLDERS’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ADDITIONAL</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ACCUMULATED</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68"/>
        </w:trPr>
        <w:tc>
          <w:tcPr>
            <w:tcW w:w="2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1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ACCUMULATED</w:t>
            </w:r>
          </w:p>
        </w:tc>
        <w:tc>
          <w:tcPr>
            <w:tcW w:w="100" w:type="dxa"/>
            <w:vAlign w:val="bottom"/>
          </w:tcPr>
          <w:p>
            <w:pPr>
              <w:spacing w:after="0"/>
              <w:rPr>
                <w:sz w:val="5"/>
                <w:szCs w:val="5"/>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OTHER</w:t>
            </w: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120" w:type="dxa"/>
            <w:vAlign w:val="bottom"/>
            <w:gridSpan w:val="5"/>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7"/>
                <w:szCs w:val="7"/>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PAID-IN</w:t>
            </w:r>
          </w:p>
        </w:tc>
        <w:tc>
          <w:tcPr>
            <w:tcW w:w="11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2120" w:type="dxa"/>
            <w:vAlign w:val="bottom"/>
            <w:gridSpan w:val="5"/>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68"/>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0" w:type="dxa"/>
            <w:vAlign w:val="bottom"/>
          </w:tcPr>
          <w:p>
            <w:pPr>
              <w:spacing w:after="0"/>
              <w:rPr>
                <w:sz w:val="5"/>
                <w:szCs w:val="5"/>
                <w:color w:val="auto"/>
              </w:rPr>
            </w:pPr>
          </w:p>
        </w:tc>
        <w:tc>
          <w:tcPr>
            <w:tcW w:w="212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DEFICIT</w:t>
            </w:r>
          </w:p>
        </w:tc>
        <w:tc>
          <w:tcPr>
            <w:tcW w:w="12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COMPREHENSIVE</w:t>
            </w:r>
          </w:p>
        </w:tc>
        <w:tc>
          <w:tcPr>
            <w:tcW w:w="2120" w:type="dxa"/>
            <w:vAlign w:val="bottom"/>
            <w:gridSpan w:val="5"/>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2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restart"/>
          </w:tcPr>
          <w:p>
            <w:pPr>
              <w:jc w:val="center"/>
              <w:ind w:right="160"/>
              <w:spacing w:after="0" w:line="111" w:lineRule="exact"/>
              <w:rPr>
                <w:sz w:val="20"/>
                <w:szCs w:val="20"/>
                <w:color w:val="auto"/>
              </w:rPr>
            </w:pPr>
            <w:r>
              <w:rPr>
                <w:rFonts w:ascii="Times New Roman" w:cs="Times New Roman" w:eastAsia="Times New Roman" w:hAnsi="Times New Roman"/>
                <w:sz w:val="12"/>
                <w:szCs w:val="12"/>
                <w:b w:val="1"/>
                <w:bCs w:val="1"/>
                <w:color w:val="auto"/>
                <w:w w:val="99"/>
              </w:rPr>
              <w:t>CAPITAL</w:t>
            </w:r>
          </w:p>
        </w:tc>
        <w:tc>
          <w:tcPr>
            <w:tcW w:w="2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vMerge w:val="restart"/>
          </w:tcPr>
          <w:p>
            <w:pPr>
              <w:jc w:val="right"/>
              <w:ind w:right="269"/>
              <w:spacing w:after="0" w:line="111"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43"/>
        </w:trPr>
        <w:tc>
          <w:tcPr>
            <w:tcW w:w="22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3"/>
                <w:szCs w:val="3"/>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0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3"/>
                <w:szCs w:val="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EXCEPT SHARE DATA)</w:t>
            </w: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164,005,450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1,255,653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(129,876)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(4,865,888)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(66,663)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1,062,795</w:t>
            </w:r>
          </w:p>
        </w:tc>
        <w:tc>
          <w:tcPr>
            <w:tcW w:w="0" w:type="dxa"/>
            <w:vAlign w:val="bottom"/>
          </w:tcPr>
          <w:p>
            <w:pPr>
              <w:spacing w:after="0"/>
              <w:rPr>
                <w:sz w:val="1"/>
                <w:szCs w:val="1"/>
                <w:color w:val="auto"/>
              </w:rPr>
            </w:pPr>
          </w:p>
        </w:tc>
      </w:tr>
      <w:tr>
        <w:trPr>
          <w:trHeight w:val="180"/>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of forfeiture</w:t>
            </w:r>
          </w:p>
        </w:tc>
        <w:tc>
          <w:tcPr>
            <w:tcW w:w="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7,320</w:t>
            </w:r>
          </w:p>
        </w:tc>
        <w:tc>
          <w:tcPr>
            <w:tcW w:w="0" w:type="dxa"/>
            <w:vAlign w:val="bottom"/>
          </w:tcPr>
          <w:p>
            <w:pPr>
              <w:spacing w:after="0"/>
              <w:rPr>
                <w:sz w:val="1"/>
                <w:szCs w:val="1"/>
                <w:color w:val="auto"/>
              </w:rPr>
            </w:pPr>
          </w:p>
        </w:tc>
      </w:tr>
      <w:tr>
        <w:trPr>
          <w:trHeight w:val="37"/>
        </w:trPr>
        <w:tc>
          <w:tcPr>
            <w:tcW w:w="2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(5,814,484)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(40,399)</w:t>
            </w:r>
          </w:p>
        </w:tc>
        <w:tc>
          <w:tcPr>
            <w:tcW w:w="0" w:type="dxa"/>
            <w:vAlign w:val="bottom"/>
          </w:tcPr>
          <w:p>
            <w:pPr>
              <w:spacing w:after="0"/>
              <w:rPr>
                <w:sz w:val="1"/>
                <w:szCs w:val="1"/>
                <w:color w:val="auto"/>
              </w:rPr>
            </w:pPr>
          </w:p>
        </w:tc>
      </w:tr>
      <w:tr>
        <w:trPr>
          <w:trHeight w:val="180"/>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from interest rate</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swap, net of tax</w:t>
            </w:r>
          </w:p>
        </w:tc>
        <w:tc>
          <w:tcPr>
            <w:tcW w:w="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0" w:type="dxa"/>
            <w:vAlign w:val="bottom"/>
          </w:tcPr>
          <w:p>
            <w:pPr>
              <w:spacing w:after="0"/>
              <w:rPr>
                <w:sz w:val="1"/>
                <w:szCs w:val="1"/>
                <w:color w:val="auto"/>
              </w:rPr>
            </w:pPr>
          </w:p>
        </w:tc>
      </w:tr>
      <w:tr>
        <w:trPr>
          <w:trHeight w:val="37"/>
        </w:trPr>
        <w:tc>
          <w:tcPr>
            <w:tcW w:w="2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(8,763)</w:t>
            </w:r>
          </w:p>
        </w:tc>
        <w:tc>
          <w:tcPr>
            <w:tcW w:w="0" w:type="dxa"/>
            <w:vAlign w:val="bottom"/>
          </w:tcPr>
          <w:p>
            <w:pPr>
              <w:spacing w:after="0"/>
              <w:rPr>
                <w:sz w:val="1"/>
                <w:szCs w:val="1"/>
                <w:color w:val="auto"/>
              </w:rPr>
            </w:pPr>
          </w:p>
        </w:tc>
      </w:tr>
      <w:tr>
        <w:trPr>
          <w:trHeight w:val="180"/>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net of tax</w:t>
            </w:r>
          </w:p>
        </w:tc>
        <w:tc>
          <w:tcPr>
            <w:tcW w:w="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(5,151)</w:t>
            </w:r>
          </w:p>
        </w:tc>
        <w:tc>
          <w:tcPr>
            <w:tcW w:w="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(5,151)</w:t>
            </w:r>
          </w:p>
        </w:tc>
        <w:tc>
          <w:tcPr>
            <w:tcW w:w="0" w:type="dxa"/>
            <w:vAlign w:val="bottom"/>
          </w:tcPr>
          <w:p>
            <w:pPr>
              <w:spacing w:after="0"/>
              <w:rPr>
                <w:sz w:val="1"/>
                <w:szCs w:val="1"/>
                <w:color w:val="auto"/>
              </w:rPr>
            </w:pPr>
          </w:p>
        </w:tc>
      </w:tr>
      <w:tr>
        <w:trPr>
          <w:trHeight w:val="91"/>
        </w:trPr>
        <w:tc>
          <w:tcPr>
            <w:tcW w:w="224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00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8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90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90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8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98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8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96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March 31, 2026</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164,005,450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1,262,973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(138,639)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(10,680,372)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(107,062)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1,017,044</w:t>
            </w: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2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161,958,810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1,216,925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(13,424)</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(949,698)</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(18,184)</w:t>
            </w:r>
          </w:p>
        </w:tc>
        <w:tc>
          <w:tcPr>
            <w:tcW w:w="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1,058,656</w:t>
            </w:r>
          </w:p>
        </w:tc>
        <w:tc>
          <w:tcPr>
            <w:tcW w:w="0" w:type="dxa"/>
            <w:vAlign w:val="bottom"/>
          </w:tcPr>
          <w:p>
            <w:pPr>
              <w:spacing w:after="0"/>
              <w:rPr>
                <w:sz w:val="1"/>
                <w:szCs w:val="1"/>
                <w:color w:val="auto"/>
              </w:rPr>
            </w:pPr>
          </w:p>
        </w:tc>
      </w:tr>
      <w:tr>
        <w:trPr>
          <w:trHeight w:val="37"/>
        </w:trPr>
        <w:tc>
          <w:tcPr>
            <w:tcW w:w="2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forfeiture</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7,070</w:t>
            </w:r>
          </w:p>
        </w:tc>
        <w:tc>
          <w:tcPr>
            <w:tcW w:w="0" w:type="dxa"/>
            <w:vAlign w:val="bottom"/>
          </w:tcPr>
          <w:p>
            <w:pPr>
              <w:spacing w:after="0"/>
              <w:rPr>
                <w:sz w:val="1"/>
                <w:szCs w:val="1"/>
                <w:color w:val="auto"/>
              </w:rPr>
            </w:pPr>
          </w:p>
        </w:tc>
      </w:tr>
      <w:tr>
        <w:trPr>
          <w:trHeight w:val="180"/>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withheld for tax</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37"/>
        </w:trPr>
        <w:tc>
          <w:tcPr>
            <w:tcW w:w="2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issued for employee</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issued for contingent</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consideration</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455,344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5,670</w:t>
            </w:r>
          </w:p>
        </w:tc>
        <w:tc>
          <w:tcPr>
            <w:tcW w:w="0" w:type="dxa"/>
            <w:vAlign w:val="bottom"/>
          </w:tcPr>
          <w:p>
            <w:pPr>
              <w:spacing w:after="0"/>
              <w:rPr>
                <w:sz w:val="1"/>
                <w:szCs w:val="1"/>
                <w:color w:val="auto"/>
              </w:rPr>
            </w:pPr>
          </w:p>
        </w:tc>
      </w:tr>
      <w:tr>
        <w:trPr>
          <w:trHeight w:val="37"/>
        </w:trPr>
        <w:tc>
          <w:tcPr>
            <w:tcW w:w="2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from interest rate</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swap, net of tax</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0" w:type="dxa"/>
            <w:vAlign w:val="bottom"/>
          </w:tcPr>
          <w:p>
            <w:pPr>
              <w:spacing w:after="0"/>
              <w:rPr>
                <w:sz w:val="1"/>
                <w:szCs w:val="1"/>
                <w:color w:val="auto"/>
              </w:rPr>
            </w:pPr>
          </w:p>
        </w:tc>
      </w:tr>
      <w:tr>
        <w:trPr>
          <w:trHeight w:val="19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4,743</w:t>
            </w:r>
          </w:p>
        </w:tc>
        <w:tc>
          <w:tcPr>
            <w:tcW w:w="0" w:type="dxa"/>
            <w:vAlign w:val="bottom"/>
          </w:tcPr>
          <w:p>
            <w:pPr>
              <w:spacing w:after="0"/>
              <w:rPr>
                <w:sz w:val="1"/>
                <w:szCs w:val="1"/>
                <w:color w:val="auto"/>
              </w:rPr>
            </w:pPr>
          </w:p>
        </w:tc>
      </w:tr>
      <w:tr>
        <w:trPr>
          <w:trHeight w:val="37"/>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240" w:type="dxa"/>
            <w:vAlign w:val="bottom"/>
            <w:vMerge w:val="continue"/>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net of tax</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8,742</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8,742</w:t>
            </w:r>
          </w:p>
        </w:tc>
        <w:tc>
          <w:tcPr>
            <w:tcW w:w="0" w:type="dxa"/>
            <w:vAlign w:val="bottom"/>
          </w:tcPr>
          <w:p>
            <w:pPr>
              <w:spacing w:after="0"/>
              <w:rPr>
                <w:sz w:val="1"/>
                <w:szCs w:val="1"/>
                <w:color w:val="auto"/>
              </w:rPr>
            </w:pPr>
          </w:p>
        </w:tc>
      </w:tr>
      <w:tr>
        <w:trPr>
          <w:trHeight w:val="218"/>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March 31, 2025</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162,426,898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1,229,660</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(123,538)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(951,191)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(18,200)</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1,084,279</w:t>
            </w:r>
          </w:p>
        </w:tc>
        <w:tc>
          <w:tcPr>
            <w:tcW w:w="0" w:type="dxa"/>
            <w:vAlign w:val="bottom"/>
          </w:tcPr>
          <w:p>
            <w:pPr>
              <w:spacing w:after="0"/>
              <w:rPr>
                <w:sz w:val="1"/>
                <w:szCs w:val="1"/>
                <w:color w:val="auto"/>
              </w:rPr>
            </w:pPr>
          </w:p>
        </w:tc>
      </w:tr>
      <w:tr>
        <w:trPr>
          <w:trHeight w:val="25"/>
        </w:trPr>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1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CERTARA, INC. AND SUBSIDIARIES</w:t>
      </w:r>
    </w:p>
    <w:p>
      <w:pPr>
        <w:spacing w:after="0" w:line="3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80" w:type="dxa"/>
            <w:vAlign w:val="bottom"/>
            <w:gridSpan w:val="4"/>
          </w:tcPr>
          <w:p>
            <w:pPr>
              <w:jc w:val="right"/>
              <w:ind w:right="539"/>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0" w:type="dxa"/>
            <w:vAlign w:val="bottom"/>
          </w:tcPr>
          <w:p>
            <w:pPr>
              <w:spacing w:after="0"/>
              <w:rPr>
                <w:sz w:val="1"/>
                <w:szCs w:val="1"/>
                <w:color w:val="auto"/>
              </w:rPr>
            </w:pPr>
          </w:p>
        </w:tc>
      </w:tr>
      <w:tr>
        <w:trPr>
          <w:trHeight w:val="35"/>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vMerge w:val="restart"/>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3"/>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(8,763)</w:t>
            </w:r>
          </w:p>
        </w:tc>
        <w:tc>
          <w:tcPr>
            <w:tcW w:w="10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4,743</w:t>
            </w:r>
          </w:p>
        </w:tc>
        <w:tc>
          <w:tcPr>
            <w:tcW w:w="0" w:type="dxa"/>
            <w:vAlign w:val="bottom"/>
          </w:tcPr>
          <w:p>
            <w:pPr>
              <w:spacing w:after="0"/>
              <w:rPr>
                <w:sz w:val="1"/>
                <w:szCs w:val="1"/>
                <w:color w:val="auto"/>
              </w:rPr>
            </w:pPr>
          </w:p>
        </w:tc>
      </w:tr>
      <w:tr>
        <w:trPr>
          <w:trHeight w:val="253"/>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18,614</w:t>
            </w:r>
          </w:p>
        </w:tc>
        <w:tc>
          <w:tcPr>
            <w:tcW w:w="0" w:type="dxa"/>
            <w:vAlign w:val="bottom"/>
          </w:tcPr>
          <w:p>
            <w:pPr>
              <w:spacing w:after="0"/>
              <w:rPr>
                <w:sz w:val="1"/>
                <w:szCs w:val="1"/>
                <w:color w:val="auto"/>
              </w:rPr>
            </w:pPr>
          </w:p>
        </w:tc>
      </w:tr>
      <w:tr>
        <w:trPr>
          <w:trHeight w:val="253"/>
        </w:trPr>
        <w:tc>
          <w:tcPr>
            <w:tcW w:w="7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33"/>
        </w:trPr>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53"/>
        </w:trPr>
        <w:tc>
          <w:tcPr>
            <w:tcW w:w="7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3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7,070</w:t>
            </w:r>
          </w:p>
        </w:tc>
        <w:tc>
          <w:tcPr>
            <w:tcW w:w="0" w:type="dxa"/>
            <w:vAlign w:val="bottom"/>
          </w:tcPr>
          <w:p>
            <w:pPr>
              <w:spacing w:after="0"/>
              <w:rPr>
                <w:sz w:val="1"/>
                <w:szCs w:val="1"/>
                <w:color w:val="auto"/>
              </w:rPr>
            </w:pPr>
          </w:p>
        </w:tc>
      </w:tr>
      <w:tr>
        <w:trPr>
          <w:trHeight w:val="233"/>
        </w:trPr>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Change in contingent considerations</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53"/>
        </w:trPr>
        <w:tc>
          <w:tcPr>
            <w:tcW w:w="7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10,502</w:t>
            </w:r>
          </w:p>
        </w:tc>
        <w:tc>
          <w:tcPr>
            <w:tcW w:w="0" w:type="dxa"/>
            <w:vAlign w:val="bottom"/>
          </w:tcPr>
          <w:p>
            <w:pPr>
              <w:spacing w:after="0"/>
              <w:rPr>
                <w:sz w:val="1"/>
                <w:szCs w:val="1"/>
                <w:color w:val="auto"/>
              </w:rPr>
            </w:pPr>
          </w:p>
        </w:tc>
      </w:tr>
      <w:tr>
        <w:trPr>
          <w:trHeight w:val="233"/>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8,736</w:t>
            </w:r>
          </w:p>
        </w:tc>
        <w:tc>
          <w:tcPr>
            <w:tcW w:w="0" w:type="dxa"/>
            <w:vAlign w:val="bottom"/>
          </w:tcPr>
          <w:p>
            <w:pPr>
              <w:spacing w:after="0"/>
              <w:rPr>
                <w:sz w:val="1"/>
                <w:szCs w:val="1"/>
                <w:color w:val="auto"/>
              </w:rPr>
            </w:pPr>
          </w:p>
        </w:tc>
      </w:tr>
      <w:tr>
        <w:trPr>
          <w:trHeight w:val="233"/>
        </w:trPr>
        <w:tc>
          <w:tcPr>
            <w:tcW w:w="7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0" w:type="dxa"/>
            <w:vAlign w:val="bottom"/>
          </w:tcPr>
          <w:p>
            <w:pPr>
              <w:spacing w:after="0"/>
              <w:rPr>
                <w:sz w:val="1"/>
                <w:szCs w:val="1"/>
                <w:color w:val="auto"/>
              </w:rPr>
            </w:pPr>
          </w:p>
        </w:tc>
      </w:tr>
      <w:tr>
        <w:trPr>
          <w:trHeight w:val="253"/>
        </w:trPr>
        <w:tc>
          <w:tcPr>
            <w:tcW w:w="7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(27,783)</w:t>
            </w:r>
          </w:p>
        </w:tc>
        <w:tc>
          <w:tcPr>
            <w:tcW w:w="0" w:type="dxa"/>
            <w:vAlign w:val="bottom"/>
          </w:tcPr>
          <w:p>
            <w:pPr>
              <w:spacing w:after="0"/>
              <w:rPr>
                <w:sz w:val="1"/>
                <w:szCs w:val="1"/>
                <w:color w:val="auto"/>
              </w:rPr>
            </w:pPr>
          </w:p>
        </w:tc>
      </w:tr>
      <w:tr>
        <w:trPr>
          <w:trHeight w:val="233"/>
        </w:trPr>
        <w:tc>
          <w:tcPr>
            <w:tcW w:w="7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Deferred revenues</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(5,448)</w:t>
            </w:r>
          </w:p>
        </w:tc>
        <w:tc>
          <w:tcPr>
            <w:tcW w:w="0" w:type="dxa"/>
            <w:vAlign w:val="bottom"/>
          </w:tcPr>
          <w:p>
            <w:pPr>
              <w:spacing w:after="0"/>
              <w:rPr>
                <w:sz w:val="1"/>
                <w:szCs w:val="1"/>
                <w:color w:val="auto"/>
              </w:rPr>
            </w:pPr>
          </w:p>
        </w:tc>
      </w:tr>
      <w:tr>
        <w:trPr>
          <w:trHeight w:val="246"/>
        </w:trPr>
        <w:tc>
          <w:tcPr>
            <w:tcW w:w="7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operating activities, net</w:t>
            </w:r>
          </w:p>
        </w:tc>
        <w:tc>
          <w:tcPr>
            <w:tcW w:w="3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0" w:type="dxa"/>
            <w:vAlign w:val="bottom"/>
          </w:tcPr>
          <w:p>
            <w:pPr>
              <w:spacing w:after="0"/>
              <w:rPr>
                <w:sz w:val="1"/>
                <w:szCs w:val="1"/>
                <w:color w:val="auto"/>
              </w:rPr>
            </w:pPr>
          </w:p>
        </w:tc>
      </w:tr>
      <w:tr>
        <w:trPr>
          <w:trHeight w:val="237"/>
        </w:trPr>
        <w:tc>
          <w:tcPr>
            <w:tcW w:w="7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11,694</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17,352</w:t>
            </w:r>
          </w:p>
        </w:tc>
        <w:tc>
          <w:tcPr>
            <w:tcW w:w="0" w:type="dxa"/>
            <w:vAlign w:val="bottom"/>
          </w:tcPr>
          <w:p>
            <w:pPr>
              <w:spacing w:after="0"/>
              <w:rPr>
                <w:sz w:val="1"/>
                <w:szCs w:val="1"/>
                <w:color w:val="auto"/>
              </w:rPr>
            </w:pPr>
          </w:p>
        </w:tc>
      </w:tr>
      <w:tr>
        <w:trPr>
          <w:trHeight w:val="243"/>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46"/>
        </w:trPr>
        <w:tc>
          <w:tcPr>
            <w:tcW w:w="7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3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(6,150)</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w:t>
            </w:r>
          </w:p>
        </w:tc>
        <w:tc>
          <w:tcPr>
            <w:tcW w:w="0" w:type="dxa"/>
            <w:vAlign w:val="bottom"/>
          </w:tcPr>
          <w:p>
            <w:pPr>
              <w:spacing w:after="0"/>
              <w:rPr>
                <w:sz w:val="1"/>
                <w:szCs w:val="1"/>
                <w:color w:val="auto"/>
              </w:rPr>
            </w:pPr>
          </w:p>
        </w:tc>
      </w:tr>
      <w:tr>
        <w:trPr>
          <w:trHeight w:val="236"/>
        </w:trPr>
        <w:tc>
          <w:tcPr>
            <w:tcW w:w="7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(6,781)</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(5,774)</w:t>
            </w:r>
          </w:p>
        </w:tc>
        <w:tc>
          <w:tcPr>
            <w:tcW w:w="0" w:type="dxa"/>
            <w:vAlign w:val="bottom"/>
          </w:tcPr>
          <w:p>
            <w:pPr>
              <w:spacing w:after="0"/>
              <w:rPr>
                <w:sz w:val="1"/>
                <w:szCs w:val="1"/>
                <w:color w:val="auto"/>
              </w:rPr>
            </w:pPr>
          </w:p>
        </w:tc>
      </w:tr>
      <w:tr>
        <w:trPr>
          <w:trHeight w:val="243"/>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53"/>
        </w:trPr>
        <w:tc>
          <w:tcPr>
            <w:tcW w:w="7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repurchase program</w:t>
            </w:r>
          </w:p>
        </w:tc>
        <w:tc>
          <w:tcPr>
            <w:tcW w:w="3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3"/>
        </w:trPr>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Payments for business acquisition related contingent consideration</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(13,230)</w:t>
            </w:r>
          </w:p>
        </w:tc>
        <w:tc>
          <w:tcPr>
            <w:tcW w:w="0" w:type="dxa"/>
            <w:vAlign w:val="bottom"/>
          </w:tcPr>
          <w:p>
            <w:pPr>
              <w:spacing w:after="0"/>
              <w:rPr>
                <w:sz w:val="1"/>
                <w:szCs w:val="1"/>
                <w:color w:val="auto"/>
              </w:rPr>
            </w:pPr>
          </w:p>
        </w:tc>
      </w:tr>
      <w:tr>
        <w:trPr>
          <w:trHeight w:val="246"/>
        </w:trPr>
        <w:tc>
          <w:tcPr>
            <w:tcW w:w="7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taxes on shares withheld for employee taxes</w:t>
            </w:r>
          </w:p>
        </w:tc>
        <w:tc>
          <w:tcPr>
            <w:tcW w:w="3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37"/>
        </w:trPr>
        <w:tc>
          <w:tcPr>
            <w:tcW w:w="7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(43,741)</w:t>
            </w:r>
          </w:p>
        </w:tc>
        <w:tc>
          <w:tcPr>
            <w:tcW w:w="100" w:type="dxa"/>
            <w:vAlign w:val="bottom"/>
            <w:tcBorders>
              <w:bottom w:val="single" w:sz="8" w:color="CCEEFF"/>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(13,996)</w:t>
            </w:r>
          </w:p>
        </w:tc>
        <w:tc>
          <w:tcPr>
            <w:tcW w:w="0" w:type="dxa"/>
            <w:vAlign w:val="bottom"/>
          </w:tcPr>
          <w:p>
            <w:pPr>
              <w:spacing w:after="0"/>
              <w:rPr>
                <w:sz w:val="1"/>
                <w:szCs w:val="1"/>
                <w:color w:val="auto"/>
              </w:rPr>
            </w:pPr>
          </w:p>
        </w:tc>
      </w:tr>
      <w:tr>
        <w:trPr>
          <w:trHeight w:val="237"/>
        </w:trPr>
        <w:tc>
          <w:tcPr>
            <w:tcW w:w="7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foreign exchange rate on cash and cash equivalents</w:t>
            </w:r>
          </w:p>
        </w:tc>
        <w:tc>
          <w:tcPr>
            <w:tcW w:w="3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0" w:type="dxa"/>
            <w:vAlign w:val="bottom"/>
          </w:tcPr>
          <w:p>
            <w:pPr>
              <w:spacing w:after="0"/>
              <w:rPr>
                <w:sz w:val="1"/>
                <w:szCs w:val="1"/>
                <w:color w:val="auto"/>
              </w:rPr>
            </w:pPr>
          </w:p>
        </w:tc>
      </w:tr>
      <w:tr>
        <w:trPr>
          <w:trHeight w:val="233"/>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(39,908)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46"/>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3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189,392</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179,183</w:t>
            </w:r>
          </w:p>
        </w:tc>
        <w:tc>
          <w:tcPr>
            <w:tcW w:w="0" w:type="dxa"/>
            <w:vAlign w:val="bottom"/>
          </w:tcPr>
          <w:p>
            <w:pPr>
              <w:spacing w:after="0"/>
              <w:rPr>
                <w:sz w:val="1"/>
                <w:szCs w:val="1"/>
                <w:color w:val="auto"/>
              </w:rPr>
            </w:pPr>
          </w:p>
        </w:tc>
      </w:tr>
      <w:tr>
        <w:trPr>
          <w:trHeight w:val="243"/>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period</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149,484</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179,086</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4,872</w:t>
            </w:r>
          </w:p>
        </w:tc>
        <w:tc>
          <w:tcPr>
            <w:tcW w:w="10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4,648</w:t>
            </w:r>
          </w:p>
        </w:tc>
        <w:tc>
          <w:tcPr>
            <w:tcW w:w="0" w:type="dxa"/>
            <w:vAlign w:val="bottom"/>
          </w:tcPr>
          <w:p>
            <w:pPr>
              <w:spacing w:after="0"/>
              <w:rPr>
                <w:sz w:val="1"/>
                <w:szCs w:val="1"/>
                <w:color w:val="auto"/>
              </w:rPr>
            </w:pPr>
          </w:p>
        </w:tc>
      </w:tr>
      <w:tr>
        <w:trPr>
          <w:trHeight w:val="253"/>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taxes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0" w:type="dxa"/>
            <w:vAlign w:val="bottom"/>
          </w:tcPr>
          <w:p>
            <w:pPr>
              <w:spacing w:after="0"/>
              <w:rPr>
                <w:sz w:val="1"/>
                <w:szCs w:val="1"/>
                <w:color w:val="auto"/>
              </w:rPr>
            </w:pPr>
          </w:p>
        </w:tc>
      </w:tr>
      <w:tr>
        <w:trPr>
          <w:trHeight w:val="233"/>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noncash investing and financing activities</w:t>
            </w: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issuance or establish liabilities related to business acquisition contingent consideration</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5,670</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11" w:name="page12"/>
    <w:bookmarkEnd w:id="11"/>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CERTARA, INC. AND SUBSIDIARIES</w:t>
      </w:r>
    </w:p>
    <w:p>
      <w:pPr>
        <w:spacing w:after="0" w:line="229" w:lineRule="exact"/>
        <w:rPr>
          <w:sz w:val="20"/>
          <w:szCs w:val="20"/>
          <w:color w:val="auto"/>
        </w:rPr>
      </w:pPr>
    </w:p>
    <w:p>
      <w:pPr>
        <w:ind w:right="4760"/>
        <w:spacing w:after="0" w:line="469" w:lineRule="auto"/>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(IN THOUSANDS, EXCEPT SHARE AND PER SHARE DATA) (UNAUDITED)</w:t>
      </w:r>
    </w:p>
    <w:p>
      <w:pPr>
        <w:spacing w:after="0" w:line="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Description of Business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Certara, Inc. and its wholly-owned subsidiaries (together, the “Company”) deliver software products and technology-driven services to customers to efficiently carry out and realize the full benefits of biosimulation in drug discovery, preclinical and clinical research, regulatory submissions and market access. The Company is a global leader in biosimulation, and the Company’s biosimulation software and technology-driven services help optimize, streamline, or even waive certain clinical trials to accelerate programs, reduce costs, and increase the probability of success. The Company’s regulatory science and market access software and services are underpinned by technologies such as regulatory submissions software, natural language processing, and Bayesian analytics. When combined, these solutions allow the Company to offer customers end-to-end support across the entire product life cycle.</w:t>
      </w:r>
    </w:p>
    <w:p>
      <w:pPr>
        <w:spacing w:after="0" w:line="17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Company has operations in the United States, Australia, Canada, China, Egypt, France, Germany, Hungary, India, Italy, Japan, Luxembourg, Netherlands, Philippines, Poland, Portugal, Spain, Switzerland, and the United Kingdom.</w:t>
      </w:r>
    </w:p>
    <w:p>
      <w:pPr>
        <w:spacing w:after="0" w:line="14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Summary of Significant Accounting Policies</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There have been no changes other than what is discussed herein to the Company’s significant accounting policies as compared to the significant accounting policies described in Note 2. “Summary of Significant Accounting Policies” to the Company’s audited consolidated financial statements included in the Company’s 2025 Annual Report. These unaudited condensed consolidated financial statements should be read in conjunction with the consolidated financial statements and related notes as of and for the year ended December 31, 2025.</w:t>
      </w:r>
    </w:p>
    <w:p>
      <w:pPr>
        <w:spacing w:after="0" w:line="16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i w:val="1"/>
          <w:iCs w:val="1"/>
          <w:color w:val="auto"/>
        </w:rPr>
        <w:t>(a)</w:t>
      </w:r>
      <w:r>
        <w:rPr>
          <w:sz w:val="20"/>
          <w:szCs w:val="20"/>
          <w:color w:val="auto"/>
        </w:rPr>
        <w:tab/>
      </w:r>
      <w:r>
        <w:rPr>
          <w:rFonts w:ascii="Times New Roman" w:cs="Times New Roman" w:eastAsia="Times New Roman" w:hAnsi="Times New Roman"/>
          <w:sz w:val="19"/>
          <w:szCs w:val="19"/>
          <w:b w:val="1"/>
          <w:bCs w:val="1"/>
          <w:i w:val="1"/>
          <w:iCs w:val="1"/>
          <w:color w:val="auto"/>
        </w:rPr>
        <w:t>Basis of Presentation and Use of Estimates</w:t>
      </w:r>
    </w:p>
    <w:p>
      <w:pPr>
        <w:spacing w:after="0" w:line="2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The preparation of condensed consolidated financial statements in conformity with U.S. generally accepted accounting principles (“GAAP”) requires management to make estimates and assumptions that affect the reported amounts of assets, liabilities, disclosure of contingent assets and liabilities at the date of the condensed consolidated financial statements and the reported amounts of revenues and expenses during the reporting period. Significant estimates include, among other estimates, assumptions used in the allocation of the transaction price to separate performance obligations, estimates towards the measure of progress of completion on fixed-price service contracts, the determination of fair values and useful lives of long-lived assets as well as intangible assets, goodwill, allowance for credit losses for accounts receivable, recoverability of deferred tax assets, recognition of deferred revenue, valuation of interest rate swaps, determination of fair value of equity-based awards, measurement of fair value of contingent consideration, and assumptions used in testing for impairment of long-lived assets. Actual results could differ from those estimates, and such differences may be material to the condensed consolidated financial statements.</w:t>
      </w:r>
    </w:p>
    <w:p>
      <w:pPr>
        <w:spacing w:after="0" w:line="15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i w:val="1"/>
          <w:iCs w:val="1"/>
          <w:color w:val="auto"/>
        </w:rPr>
        <w:t>(b)</w:t>
      </w:r>
      <w:r>
        <w:rPr>
          <w:sz w:val="20"/>
          <w:szCs w:val="20"/>
          <w:color w:val="auto"/>
        </w:rPr>
        <w:tab/>
      </w:r>
      <w:r>
        <w:rPr>
          <w:rFonts w:ascii="Times New Roman" w:cs="Times New Roman" w:eastAsia="Times New Roman" w:hAnsi="Times New Roman"/>
          <w:sz w:val="19"/>
          <w:szCs w:val="19"/>
          <w:b w:val="1"/>
          <w:bCs w:val="1"/>
          <w:i w:val="1"/>
          <w:iCs w:val="1"/>
          <w:color w:val="auto"/>
        </w:rPr>
        <w:t>Unaudited Interim Financial Statements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accompanying condensed consolidated balance sheet as of March 31, 2026, the condensed consolidated statements of operations and comprehensive income (loss) for the three months ended March 31, 2026 and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62"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2025, the condensed consolidated statements of stockholders’ equity for the three months ended March 31, 2026 and 2025, the condensed consolidated statements of cash flows for the three months ended March 31, 2026 and 2025, and the related interim disclosures are unaudited.</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have been prepared in accordance with U.S. GAAP. These unaudited condensed consolidated financial statements include all adjustments necessary to fairly state the financial position and the results of the Company’s operations and cash flows for interim periods in accordance with U.S. GAAP. Interim period results are not necessarily indicative of results of operations or cash flows for a full year or any subsequent interim period. The accompanying condensed consolidated financial statements should be read in conjunction with the Company’s 2025 audited consolidated financial statements and notes thereto. The information as of December 31, 2025 in the Company’s condensed consolidated balance sheet included herein is derived from the Company’s audited consolidated financial statements included in the Company’s 2025 Annual Report.</w:t>
      </w:r>
    </w:p>
    <w:p>
      <w:pPr>
        <w:spacing w:after="0" w:line="1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b w:val="1"/>
          <w:bCs w:val="1"/>
          <w:i w:val="1"/>
          <w:iCs w:val="1"/>
          <w:color w:val="auto"/>
        </w:rPr>
        <w:t>(c)</w:t>
      </w:r>
      <w:r>
        <w:rPr>
          <w:sz w:val="20"/>
          <w:szCs w:val="20"/>
          <w:color w:val="auto"/>
        </w:rPr>
        <w:tab/>
      </w:r>
      <w:r>
        <w:rPr>
          <w:rFonts w:ascii="Times New Roman" w:cs="Times New Roman" w:eastAsia="Times New Roman" w:hAnsi="Times New Roman"/>
          <w:sz w:val="19"/>
          <w:szCs w:val="19"/>
          <w:b w:val="1"/>
          <w:bCs w:val="1"/>
          <w:i w:val="1"/>
          <w:iCs w:val="1"/>
          <w:color w:val="auto"/>
        </w:rPr>
        <w:t>Recently Adopted or Issued Accounting Standards</w:t>
      </w:r>
    </w:p>
    <w:p>
      <w:pPr>
        <w:spacing w:after="0" w:line="2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In July 2025, the Financial Accounting Standards Board ("FASB") issued Accounting Standards Update ("ASU") 2025-05, Financial Instruments-Credit Losses (Topic 326): Measurement of Credit Losses for Accounts Receivable and Contract Assets. The ASU provides a practical expedient related to the estimation of expected credit losses for current accounts receivable and current contract assets that arise from transactions accounted for under ASC 606. In developing reasonable and supportable forecasts as part of estimating expected credit losses, all entities may elect a practical expedient that assumes that current conditions as of the balance sheet date do not change for the remaining life of the asset. The ASU is effective for annual reporting periods beginning after December 15, 2025, and interim reporting periods within those annual reporting periods. The Company adopted ASU 2025-05 prospectively for the period ended March 31, 2026.</w:t>
      </w:r>
    </w:p>
    <w:p>
      <w:pPr>
        <w:spacing w:after="0" w:line="2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In November 2024, the FASB issued ASU 2024-03, Disaggregation of Income Statement Expenses. This ASU seeks to improve the disclosures about the types of expenses, including employee compensation, depreciation, and amortization, and costs incurred related to inventory and manufacturing activities. ASU 2024-03 is effective for fiscal years beginning after December 15, 2026, and interim periods within fiscal years beginning after December 15, 2027. Early adoption is permitted. In January 2025, the FASB also issued ASU 2025-01 to clarify the effective date. The Company is currently evaluating the impact of the ASU on the disclosures within its consolidated financial statements.</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In September 2025, the FASB issued ASU 2025-06, Intangibles - Goodwill and Other - Internal-Use Software (Subtopic 350-40): Targeted Improvements to the Accounting for Internal-Use Software. The ASU removes all references to prescriptive and sequential software development stages and clarifies that the threshold for when an entity is required to start capitalizing software costs is when (1) management has authorized and committed to funding the software project and (2) it is probable that the project will be completed and the software will be used to perform the function intended. The amendments in this ASU are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of the ASU on the consolidated financial statements.</w:t>
      </w:r>
    </w:p>
    <w:p>
      <w:pPr>
        <w:spacing w:after="0" w:line="2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9"/>
          <w:szCs w:val="19"/>
          <w:color w:val="auto"/>
        </w:rPr>
        <w:t>In November 2025, the FASB issued ASU 2025-09, Derivatives and Hedging (Topic 815) - Hedge Accounting Improvements, which amends certain aspects of the hedge accounting guidance in ASC 815. The ASU enables entities to apply hedge accounting to a greater number of highly effective economic hedges in the following five areas: similar risk assessment for cash flow hedges, hedging forecasted interest payments on choose-your-rate debt instruments, cash flow hedges of nonfinancial forecasted transactions, net written options as hedging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spacing w:after="0" w:line="268" w:lineRule="auto"/>
        <w:rPr>
          <w:sz w:val="20"/>
          <w:szCs w:val="20"/>
          <w:color w:val="auto"/>
        </w:rPr>
      </w:pPr>
      <w:r>
        <w:rPr>
          <w:rFonts w:ascii="Times New Roman" w:cs="Times New Roman" w:eastAsia="Times New Roman" w:hAnsi="Times New Roman"/>
          <w:sz w:val="20"/>
          <w:szCs w:val="20"/>
          <w:color w:val="auto"/>
        </w:rPr>
        <w:t>instruments, and foreign-currency-denominated debt instrument as hedging instrument and hedged item(dual hedge). The amendments in this ASU are effective for public business entities for annual reporting periods beginning after December 15, 2026, and interim periods within those annual reporting periods. Early adoption is permitted. The Company is currently evaluating the impact of the ASU on the consolidated financial statements.</w:t>
      </w: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In December 2025, the FASB issued ASU 2025-10, Government Grants (Topic 832): Accounting for Government Grants Received by Business Entities, which provides recognition, measurement, and presentation guidance for government grants received by business entities. The ASU applies to all business entities except for not-for-profit entities and employee benefit plans that receive a government grant. This ASU is effective for public business entities for annual periods beginning after December 15, 2028, and interim periods within those annual periods. Early adoption is permitted. The Company is currently evaluating the impact of the ASU on the consolidated financial statements.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auto"/>
        </w:rPr>
        <w:t>In December 2025, the FASB issued ASU 2025-11, Interim Reporting (Topic 270): Narrow-Scope Improvement. This ASU clarifies that the guidance in Topic 270 applies to all entities that provide interim financial statements and notes in accordance with GAAP. It also establishes a comprehensive list in Topic 270 of interim disclosures that are required in interim financial statements and notes in accordance with GAAP, incorporates a disclosure principle, and improves guidance about information included in and the format of interim financial statements. This ASU does not change the fundamental nature of interim reporting or expand or reduce current interim disclosure requirements. The ASU is effective for public business entities for interim periods within annual periods beginning after December 15, 2027. Early adoption is permitted. The Company is currently evaluating the impact of the ASU on the consolidated financial statements.</w:t>
      </w:r>
    </w:p>
    <w:p>
      <w:pPr>
        <w:spacing w:after="0" w:line="16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i w:val="1"/>
          <w:iCs w:val="1"/>
          <w:color w:val="auto"/>
        </w:rPr>
        <w:t>(d)</w:t>
      </w:r>
      <w:r>
        <w:rPr>
          <w:sz w:val="20"/>
          <w:szCs w:val="20"/>
          <w:color w:val="auto"/>
        </w:rPr>
        <w:tab/>
      </w:r>
      <w:r>
        <w:rPr>
          <w:rFonts w:ascii="Times New Roman" w:cs="Times New Roman" w:eastAsia="Times New Roman" w:hAnsi="Times New Roman"/>
          <w:sz w:val="19"/>
          <w:szCs w:val="19"/>
          <w:b w:val="1"/>
          <w:bCs w:val="1"/>
          <w:i w:val="1"/>
          <w:iCs w:val="1"/>
          <w:color w:val="auto"/>
        </w:rPr>
        <w:t>Principles of Consolidation</w:t>
      </w:r>
    </w:p>
    <w:p>
      <w:pPr>
        <w:spacing w:after="0" w:line="20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accompanying condensed consolidated financial statements include the accounts of the Company and its wholly owned subsidiaries. All intercompany balances and transactions have been eliminated in consolidation.</w:t>
      </w:r>
    </w:p>
    <w:p>
      <w:pPr>
        <w:spacing w:after="0" w:line="1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b w:val="1"/>
          <w:bCs w:val="1"/>
          <w:i w:val="1"/>
          <w:iCs w:val="1"/>
          <w:color w:val="auto"/>
        </w:rPr>
        <w:t>(e)</w:t>
      </w:r>
      <w:r>
        <w:rPr>
          <w:sz w:val="20"/>
          <w:szCs w:val="20"/>
          <w:color w:val="auto"/>
        </w:rPr>
        <w:tab/>
      </w:r>
      <w:r>
        <w:rPr>
          <w:rFonts w:ascii="Times New Roman" w:cs="Times New Roman" w:eastAsia="Times New Roman" w:hAnsi="Times New Roman"/>
          <w:sz w:val="19"/>
          <w:szCs w:val="19"/>
          <w:b w:val="1"/>
          <w:bCs w:val="1"/>
          <w:i w:val="1"/>
          <w:iCs w:val="1"/>
          <w:color w:val="auto"/>
        </w:rPr>
        <w:t>Fair Value Measurements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follows FASB Accounting Standards Codification (“ASC”) 820-10, “Fair Value Measurements” (“ASC 820-10”), which defines fair value, establishes a framework for measuring fair value in U.S. GAAP, and requires certain disclosures about fair value measurements.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ASC 820-10 defines fair value as the exchange price that would be received for an asset or paid to transfer a liability (an exit price) in the most advantageous market for the asset or liability in an orderly transaction. Fair value measurement is based on a hierarchy of observable or unobservable inputs. The standard describes three levels of inputs that may be used to measure fair value.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1 — Inputs to the valuation methodology are quoted prices available in active markets for identical securities as of the reporting date;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Level 2 — Inputs to the valuation methodology are other significant observable inputs, including quoted prices for similar securities, interest rates, credit risk etc. as of the reporting date, and the fair value can be determined through the use of models or other valuation methodologies; and</w:t>
      </w:r>
    </w:p>
    <w:p>
      <w:pPr>
        <w:spacing w:after="0" w:line="18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Level 3 — Inputs to the valuation methodology are unobservable inputs in situations where there is little or no market activity of the securities and the reporting entity makes estimates and assumptions relating to the pricing of the securities including assumptions regarding risk.</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4" w:name="page15"/>
    <w:bookmarkEnd w:id="14"/>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the inputs used to measure fair value fall at different levels of the fair value hierarchy, the hierarchy is based on the lowest level of input that is significant to the fair value measurement. For the acquisitions noted in Note 4, the fair value measurement methods used to estimate the fair value of the assets acquired and liabilities assumed at the acquisition dates utilized a number of significant unobservable inputs of Level 3 assumptions. These assumptions included, among other things, projections of future operating results, implied fair value of assets using an income approach by preparing a discounted cash flow analysis, and other subjective assumptions.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Interest rate swaps are valued in the market using discounted cash flows techniques. These techniques incorporate Level 1 and Level 2 inputs. The market inputs are utilized in the discounted cash flows’ calculation considering the instrument’s term, notional amount, discount rate and credit risk. Significant inputs to the derivative instrument valuation model for interest rate swaps are observable in active markets and are classified as Level 2 in the hierarchy.</w:t>
      </w:r>
    </w:p>
    <w:p>
      <w:pPr>
        <w:spacing w:after="0" w:line="2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Contingent liabilities related to acquisitions are measured at fair value using Level 3 unobservable inputs. The Company's estimates of fair value are based upon assumptions believed to be reasonable but that are uncertain and involve significant judgments by management. Any changes in the fair value of these contingent liabilities are included in the earnings in the condensed consolidated statements of operations and comprehensive income (loss).</w:t>
      </w: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The Company utilizes Monte Carlo or a series of Black-Scholes-Merton options models to estimate the fair value of the contingent consideration liabilities of business acquisitions. Significant inputs used in the fair value measurement of contingent consideration include: expected eligible revenue for the acquired businesses over the relevant measurement periods, the risk-profile of the expected eligible revenue for the acquired businesses, the uncertainty regarding the expected eligible revenue for the acquired businesses, the risk-free rate of return, the expected timing at which settlement of the contingent liabilities may occur, and the credit-adjusted discount rate associated with the risk of the Company’s future liability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table sets forth the assets and liabilities that were measured at fair value on a recurring and non-recurring basis by their levels in the fair value hierarchy at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149860</wp:posOffset>
            </wp:positionV>
            <wp:extent cx="46545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5455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6"/>
                <w:szCs w:val="16"/>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20" w:type="dxa"/>
            <w:vAlign w:val="bottom"/>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gridSpan w:val="3"/>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20" w:type="dxa"/>
            <w:vAlign w:val="bottom"/>
            <w:gridSpan w:val="3"/>
          </w:tcPr>
          <w:p>
            <w:pPr>
              <w:jc w:val="right"/>
              <w:ind w:right="766"/>
              <w:spacing w:after="0"/>
              <w:rPr>
                <w:sz w:val="20"/>
                <w:szCs w:val="20"/>
                <w:color w:val="auto"/>
              </w:rPr>
            </w:pPr>
            <w:r>
              <w:rPr>
                <w:rFonts w:ascii="Times New Roman" w:cs="Times New Roman" w:eastAsia="Times New Roman" w:hAnsi="Times New Roman"/>
                <w:sz w:val="18"/>
                <w:szCs w:val="18"/>
                <w:color w:val="auto"/>
              </w:rPr>
              <w:t>(In thousands)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20"/>
                <w:szCs w:val="20"/>
                <w:b w:val="1"/>
                <w:bCs w:val="1"/>
                <w:color w:val="auto"/>
                <w:w w:val="97"/>
              </w:rPr>
              <w:t>Assets</w:t>
            </w:r>
          </w:p>
        </w:tc>
        <w:tc>
          <w:tcPr>
            <w:tcW w:w="3320" w:type="dxa"/>
            <w:vAlign w:val="bottom"/>
            <w:tcBorders>
              <w:bottom w:val="single" w:sz="8" w:color="CCEEFF"/>
            </w:tcBorders>
            <w:gridSpan w:val="2"/>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66"/>
        </w:trPr>
        <w:tc>
          <w:tcPr>
            <w:tcW w:w="20" w:type="dxa"/>
            <w:vAlign w:val="bottom"/>
          </w:tcPr>
          <w:p>
            <w:pPr>
              <w:spacing w:after="0"/>
              <w:rPr>
                <w:sz w:val="23"/>
                <w:szCs w:val="23"/>
                <w:color w:val="auto"/>
              </w:rPr>
            </w:pPr>
          </w:p>
        </w:tc>
        <w:tc>
          <w:tcPr>
            <w:tcW w:w="38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Money market funds</w:t>
            </w: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43,147</w:t>
            </w:r>
          </w:p>
        </w:tc>
        <w:tc>
          <w:tcPr>
            <w:tcW w:w="80" w:type="dxa"/>
            <w:vAlign w:val="bottom"/>
          </w:tcPr>
          <w:p>
            <w:pPr>
              <w:spacing w:after="0"/>
              <w:rPr>
                <w:sz w:val="23"/>
                <w:szCs w:val="23"/>
                <w:color w:val="auto"/>
              </w:rPr>
            </w:pP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ind w:right="1106"/>
              <w:spacing w:after="0"/>
              <w:rPr>
                <w:sz w:val="20"/>
                <w:szCs w:val="20"/>
                <w:color w:val="auto"/>
              </w:rPr>
            </w:pPr>
            <w:r>
              <w:rPr>
                <w:rFonts w:ascii="Times New Roman" w:cs="Times New Roman" w:eastAsia="Times New Roman" w:hAnsi="Times New Roman"/>
                <w:sz w:val="20"/>
                <w:szCs w:val="20"/>
                <w:color w:val="auto"/>
                <w:w w:val="99"/>
              </w:rPr>
              <w:t>$</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43,147</w:t>
            </w:r>
          </w:p>
        </w:tc>
      </w:tr>
      <w:tr>
        <w:trPr>
          <w:trHeight w:val="274"/>
        </w:trPr>
        <w:tc>
          <w:tcPr>
            <w:tcW w:w="20" w:type="dxa"/>
            <w:vAlign w:val="bottom"/>
            <w:shd w:val="clear" w:color="auto" w:fill="CCEEFF"/>
          </w:tcPr>
          <w:p>
            <w:pPr>
              <w:spacing w:after="0"/>
              <w:rPr>
                <w:sz w:val="23"/>
                <w:szCs w:val="23"/>
                <w:color w:val="auto"/>
              </w:rPr>
            </w:pPr>
          </w:p>
        </w:tc>
        <w:tc>
          <w:tcPr>
            <w:tcW w:w="3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Interest rate swap assets</w:t>
            </w:r>
          </w:p>
        </w:tc>
        <w:tc>
          <w:tcPr>
            <w:tcW w:w="3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60"/>
        </w:trPr>
        <w:tc>
          <w:tcPr>
            <w:tcW w:w="20" w:type="dxa"/>
            <w:vAlign w:val="bottom"/>
          </w:tcPr>
          <w:p>
            <w:pPr>
              <w:spacing w:after="0"/>
              <w:rPr>
                <w:sz w:val="22"/>
                <w:szCs w:val="22"/>
                <w:color w:val="auto"/>
              </w:rPr>
            </w:pPr>
          </w:p>
        </w:tc>
        <w:tc>
          <w:tcPr>
            <w:tcW w:w="3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Total assets</w:t>
            </w: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43,147</w:t>
            </w:r>
          </w:p>
        </w:tc>
        <w:tc>
          <w:tcPr>
            <w:tcW w:w="8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00" w:type="dxa"/>
            <w:vAlign w:val="bottom"/>
          </w:tcPr>
          <w:p>
            <w:pPr>
              <w:spacing w:after="0"/>
              <w:rPr>
                <w:sz w:val="22"/>
                <w:szCs w:val="22"/>
                <w:color w:val="auto"/>
              </w:rPr>
            </w:pPr>
          </w:p>
        </w:tc>
        <w:tc>
          <w:tcPr>
            <w:tcW w:w="1320" w:type="dxa"/>
            <w:vAlign w:val="bottom"/>
          </w:tcPr>
          <w:p>
            <w:pPr>
              <w:jc w:val="right"/>
              <w:ind w:right="1106"/>
              <w:spacing w:after="0"/>
              <w:rPr>
                <w:sz w:val="20"/>
                <w:szCs w:val="20"/>
                <w:color w:val="auto"/>
              </w:rPr>
            </w:pPr>
            <w:r>
              <w:rPr>
                <w:rFonts w:ascii="Times New Roman" w:cs="Times New Roman" w:eastAsia="Times New Roman" w:hAnsi="Times New Roman"/>
                <w:sz w:val="20"/>
                <w:szCs w:val="20"/>
                <w:color w:val="auto"/>
                <w:w w:val="99"/>
              </w:rPr>
              <w:t>$</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43,173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41"/>
        </w:trPr>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Liabilities</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3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Contingent liabilities</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shd w:val="clear" w:color="auto" w:fill="CCEEFF"/>
          </w:tcPr>
          <w:p>
            <w:pPr>
              <w:jc w:val="right"/>
              <w:ind w:right="1106"/>
              <w:spacing w:after="0"/>
              <w:rPr>
                <w:sz w:val="20"/>
                <w:szCs w:val="20"/>
                <w:color w:val="auto"/>
              </w:rPr>
            </w:pPr>
            <w:r>
              <w:rPr>
                <w:rFonts w:ascii="Times New Roman" w:cs="Times New Roman" w:eastAsia="Times New Roman" w:hAnsi="Times New Roman"/>
                <w:sz w:val="20"/>
                <w:szCs w:val="20"/>
                <w:color w:val="auto"/>
                <w:w w:val="99"/>
              </w:rPr>
              <w:t>$</w:t>
            </w: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6"/>
        </w:trPr>
        <w:tc>
          <w:tcPr>
            <w:tcW w:w="20" w:type="dxa"/>
            <w:vAlign w:val="bottom"/>
            <w:tcBorders>
              <w:bottom w:val="single" w:sz="8" w:color="CCEEFF"/>
            </w:tcBorders>
          </w:tcPr>
          <w:p>
            <w:pPr>
              <w:spacing w:after="0"/>
              <w:rPr>
                <w:sz w:val="23"/>
                <w:szCs w:val="23"/>
                <w:color w:val="auto"/>
              </w:rPr>
            </w:pPr>
          </w:p>
        </w:tc>
        <w:tc>
          <w:tcPr>
            <w:tcW w:w="3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20"/>
                <w:szCs w:val="20"/>
                <w:color w:val="auto"/>
              </w:rPr>
              <w:t>Interest rate swap liabilities</w:t>
            </w:r>
          </w:p>
        </w:tc>
        <w:tc>
          <w:tcPr>
            <w:tcW w:w="3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697</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697</w:t>
            </w:r>
          </w:p>
        </w:tc>
      </w:tr>
      <w:tr>
        <w:trPr>
          <w:trHeight w:val="283"/>
        </w:trPr>
        <w:tc>
          <w:tcPr>
            <w:tcW w:w="20" w:type="dxa"/>
            <w:vAlign w:val="bottom"/>
            <w:shd w:val="clear" w:color="auto" w:fill="CCEEFF"/>
          </w:tcPr>
          <w:p>
            <w:pPr>
              <w:spacing w:after="0"/>
              <w:rPr>
                <w:sz w:val="24"/>
                <w:szCs w:val="24"/>
                <w:color w:val="auto"/>
              </w:rPr>
            </w:pPr>
          </w:p>
        </w:tc>
        <w:tc>
          <w:tcPr>
            <w:tcW w:w="38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Total liabilities</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697</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06"/>
              <w:spacing w:after="0"/>
              <w:rPr>
                <w:sz w:val="20"/>
                <w:szCs w:val="20"/>
                <w:color w:val="auto"/>
              </w:rPr>
            </w:pPr>
            <w:r>
              <w:rPr>
                <w:rFonts w:ascii="Times New Roman" w:cs="Times New Roman" w:eastAsia="Times New Roman" w:hAnsi="Times New Roman"/>
                <w:sz w:val="20"/>
                <w:szCs w:val="20"/>
                <w:color w:val="auto"/>
                <w:w w:val="99"/>
              </w:rPr>
              <w:t>$</w:t>
            </w: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sets forth the assets and liabilities that were measured at fair value on a recurring and non-recurring basis by their levels in the fair value hierarchy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124460</wp:posOffset>
            </wp:positionV>
            <wp:extent cx="4654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5455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6"/>
                <w:szCs w:val="16"/>
                <w:color w:val="auto"/>
              </w:rPr>
            </w:pP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LEVEL2</w:t>
            </w:r>
          </w:p>
        </w:tc>
        <w:tc>
          <w:tcPr>
            <w:tcW w:w="5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400" w:type="dxa"/>
            <w:vAlign w:val="bottom"/>
          </w:tcPr>
          <w:p>
            <w:pPr>
              <w:jc w:val="right"/>
              <w:ind w:right="54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20"/>
                <w:szCs w:val="20"/>
                <w:b w:val="1"/>
                <w:bCs w:val="1"/>
                <w:color w:val="auto"/>
                <w:w w:val="97"/>
              </w:rPr>
              <w:t>Assets</w:t>
            </w:r>
          </w:p>
        </w:tc>
        <w:tc>
          <w:tcPr>
            <w:tcW w:w="3320" w:type="dxa"/>
            <w:vAlign w:val="bottom"/>
            <w:tcBorders>
              <w:bottom w:val="single" w:sz="8" w:color="CCEEFF"/>
            </w:tcBorders>
            <w:gridSpan w:val="2"/>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66"/>
        </w:trPr>
        <w:tc>
          <w:tcPr>
            <w:tcW w:w="20" w:type="dxa"/>
            <w:vAlign w:val="bottom"/>
            <w:tcBorders>
              <w:bottom w:val="single" w:sz="8" w:color="CCEEFF"/>
            </w:tcBorders>
          </w:tcPr>
          <w:p>
            <w:pPr>
              <w:spacing w:after="0"/>
              <w:rPr>
                <w:sz w:val="23"/>
                <w:szCs w:val="23"/>
                <w:color w:val="auto"/>
              </w:rPr>
            </w:pPr>
          </w:p>
        </w:tc>
        <w:tc>
          <w:tcPr>
            <w:tcW w:w="3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20"/>
                <w:szCs w:val="20"/>
                <w:color w:val="auto"/>
              </w:rPr>
              <w:t>Money market funds</w:t>
            </w:r>
          </w:p>
        </w:tc>
        <w:tc>
          <w:tcPr>
            <w:tcW w:w="3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82,496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82,496</w:t>
            </w:r>
          </w:p>
        </w:tc>
      </w:tr>
      <w:tr>
        <w:trPr>
          <w:trHeight w:val="283"/>
        </w:trPr>
        <w:tc>
          <w:tcPr>
            <w:tcW w:w="20" w:type="dxa"/>
            <w:vAlign w:val="bottom"/>
            <w:shd w:val="clear" w:color="auto" w:fill="CCEEFF"/>
          </w:tcPr>
          <w:p>
            <w:pPr>
              <w:spacing w:after="0"/>
              <w:rPr>
                <w:sz w:val="24"/>
                <w:szCs w:val="24"/>
                <w:color w:val="auto"/>
              </w:rPr>
            </w:pPr>
          </w:p>
        </w:tc>
        <w:tc>
          <w:tcPr>
            <w:tcW w:w="38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Total assets</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82,496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82,496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20"/>
                <w:szCs w:val="20"/>
                <w:b w:val="1"/>
                <w:bCs w:val="1"/>
                <w:color w:val="auto"/>
                <w:w w:val="98"/>
              </w:rPr>
              <w:t>Liabilities</w:t>
            </w:r>
          </w:p>
        </w:tc>
        <w:tc>
          <w:tcPr>
            <w:tcW w:w="3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66"/>
        </w:trPr>
        <w:tc>
          <w:tcPr>
            <w:tcW w:w="20" w:type="dxa"/>
            <w:vAlign w:val="bottom"/>
          </w:tcPr>
          <w:p>
            <w:pPr>
              <w:spacing w:after="0"/>
              <w:rPr>
                <w:sz w:val="23"/>
                <w:szCs w:val="23"/>
                <w:color w:val="auto"/>
              </w:rPr>
            </w:pPr>
          </w:p>
        </w:tc>
        <w:tc>
          <w:tcPr>
            <w:tcW w:w="38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Contingent liabilities</w:t>
            </w: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21,515</w:t>
            </w:r>
          </w:p>
        </w:tc>
        <w:tc>
          <w:tcPr>
            <w:tcW w:w="100" w:type="dxa"/>
            <w:vAlign w:val="bottom"/>
          </w:tcPr>
          <w:p>
            <w:pPr>
              <w:spacing w:after="0"/>
              <w:rPr>
                <w:sz w:val="23"/>
                <w:szCs w:val="23"/>
                <w:color w:val="auto"/>
              </w:rPr>
            </w:pPr>
          </w:p>
        </w:tc>
        <w:tc>
          <w:tcPr>
            <w:tcW w:w="3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21,515</w:t>
            </w:r>
          </w:p>
        </w:tc>
      </w:tr>
      <w:tr>
        <w:trPr>
          <w:trHeight w:val="274"/>
        </w:trPr>
        <w:tc>
          <w:tcPr>
            <w:tcW w:w="20" w:type="dxa"/>
            <w:vAlign w:val="bottom"/>
            <w:shd w:val="clear" w:color="auto" w:fill="CCEEFF"/>
          </w:tcPr>
          <w:p>
            <w:pPr>
              <w:spacing w:after="0"/>
              <w:rPr>
                <w:sz w:val="23"/>
                <w:szCs w:val="23"/>
                <w:color w:val="auto"/>
              </w:rPr>
            </w:pPr>
          </w:p>
        </w:tc>
        <w:tc>
          <w:tcPr>
            <w:tcW w:w="3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Interest rate swap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2,322</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2,322</w:t>
            </w:r>
          </w:p>
        </w:tc>
      </w:tr>
      <w:tr>
        <w:trPr>
          <w:trHeight w:val="260"/>
        </w:trPr>
        <w:tc>
          <w:tcPr>
            <w:tcW w:w="20" w:type="dxa"/>
            <w:vAlign w:val="bottom"/>
          </w:tcPr>
          <w:p>
            <w:pPr>
              <w:spacing w:after="0"/>
              <w:rPr>
                <w:sz w:val="22"/>
                <w:szCs w:val="22"/>
                <w:color w:val="auto"/>
              </w:rPr>
            </w:pPr>
          </w:p>
        </w:tc>
        <w:tc>
          <w:tcPr>
            <w:tcW w:w="3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Total liabilities</w:t>
            </w: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2,322</w:t>
            </w:r>
          </w:p>
        </w:tc>
        <w:tc>
          <w:tcPr>
            <w:tcW w:w="100" w:type="dxa"/>
            <w:vAlign w:val="bottom"/>
          </w:tcPr>
          <w:p>
            <w:pPr>
              <w:spacing w:after="0"/>
              <w:rPr>
                <w:sz w:val="22"/>
                <w:szCs w:val="22"/>
                <w:color w:val="auto"/>
              </w:rPr>
            </w:pPr>
          </w:p>
        </w:tc>
        <w:tc>
          <w:tcPr>
            <w:tcW w:w="54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21,515</w:t>
            </w:r>
          </w:p>
        </w:tc>
        <w:tc>
          <w:tcPr>
            <w:tcW w:w="100" w:type="dxa"/>
            <w:vAlign w:val="bottom"/>
          </w:tcPr>
          <w:p>
            <w:pPr>
              <w:spacing w:after="0"/>
              <w:rPr>
                <w:sz w:val="22"/>
                <w:szCs w:val="22"/>
                <w:color w:val="auto"/>
              </w:rPr>
            </w:pPr>
          </w:p>
        </w:tc>
        <w:tc>
          <w:tcPr>
            <w:tcW w:w="3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23,837</w:t>
            </w:r>
          </w:p>
        </w:tc>
      </w:tr>
      <w:tr>
        <w:trPr>
          <w:trHeight w:val="24"/>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r>
    </w:tbl>
    <w:p>
      <w:pPr>
        <w:spacing w:after="0" w:line="2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For the three month period ended March 31, 2026, there were no transfers between the levels within the fair value hierarchy. The Company’s Level 2 assets and liabilities are interest swap assets and liabilities and level 3 liabilities are acquisition related contingent consideration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Level 3 activity of the changes in the contingent consideration liability.</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37"/>
        </w:trPr>
        <w:tc>
          <w:tcPr>
            <w:tcW w:w="94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37"/>
        </w:trPr>
        <w:tc>
          <w:tcPr>
            <w:tcW w:w="9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248"/>
              <w:spacing w:after="0"/>
              <w:rPr>
                <w:sz w:val="20"/>
                <w:szCs w:val="20"/>
                <w:color w:val="auto"/>
              </w:rPr>
            </w:pPr>
            <w:r>
              <w:rPr>
                <w:rFonts w:ascii="Times New Roman" w:cs="Times New Roman" w:eastAsia="Times New Roman" w:hAnsi="Times New Roman"/>
                <w:sz w:val="18"/>
                <w:szCs w:val="18"/>
                <w:color w:val="auto"/>
              </w:rPr>
              <w:t>(In thousands)</w:t>
            </w:r>
          </w:p>
        </w:tc>
      </w:tr>
      <w:tr>
        <w:trPr>
          <w:trHeight w:val="27"/>
        </w:trPr>
        <w:tc>
          <w:tcPr>
            <w:tcW w:w="9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Beginning balance at December 31, 2025</w:t>
            </w: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21,515</w:t>
            </w:r>
          </w:p>
        </w:tc>
      </w:tr>
      <w:tr>
        <w:trPr>
          <w:trHeight w:val="266"/>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Transfers out of level 3 (to non–fair value liability)</w:t>
            </w:r>
          </w:p>
        </w:tc>
        <w:tc>
          <w:tcPr>
            <w:tcW w:w="2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(21,515)</w:t>
            </w:r>
          </w:p>
        </w:tc>
      </w:tr>
      <w:tr>
        <w:trPr>
          <w:trHeight w:val="289"/>
        </w:trPr>
        <w:tc>
          <w:tcPr>
            <w:tcW w:w="9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Ending balance at March 31, 2026</w:t>
            </w: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For more information regarding fair value measurements and the fair value hierarchy, see Note 2. “Summary of Significant Accounting Policies” in the notes to the consolidated financial statements in the Company’s 2025 Annual Report.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158"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0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Cash equivalents include highly liquid investments with maturities of three months or less from the date purchased. The cash and cash equivalents was $149,484 and $189,392 at March 31, 2026 and December 31, 2025, respectively.</w:t>
      </w:r>
    </w:p>
    <w:p>
      <w:pPr>
        <w:spacing w:after="0" w:line="1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b w:val="1"/>
          <w:bCs w:val="1"/>
          <w:i w:val="1"/>
          <w:iCs w:val="1"/>
          <w:color w:val="auto"/>
        </w:rPr>
        <w:t>(g)</w:t>
      </w:r>
      <w:r>
        <w:rPr>
          <w:sz w:val="20"/>
          <w:szCs w:val="20"/>
          <w:color w:val="auto"/>
        </w:rPr>
        <w:tab/>
      </w:r>
      <w:r>
        <w:rPr>
          <w:rFonts w:ascii="Times New Roman" w:cs="Times New Roman" w:eastAsia="Times New Roman" w:hAnsi="Times New Roman"/>
          <w:sz w:val="19"/>
          <w:szCs w:val="19"/>
          <w:b w:val="1"/>
          <w:bCs w:val="1"/>
          <w:i w:val="1"/>
          <w:iCs w:val="1"/>
          <w:color w:val="auto"/>
        </w:rPr>
        <w:t>Accounts Receivable</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Accounts receivable include current outstanding invoices billed to customers. Invoices are typically issued with net 30 days to net 90 days terms upon delivery of the product or upon achievement of billable events for service-based contracts. Unbilled receivables relate to the Company’s rights to consideration for performance obligations satisfied but not billed at the reporting date on contracts. Unbilled receivables are billed and transferred to customer accounts receivable when the rights become unconditional. The carrying amount of accounts receivable is reduced by a valuation allowance.</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Company estimates the expected credit losses for accounts receivable using historical loss data adjusted for current economic conditions to estimate the relative size of credit losses to be expected. The Company has elected the practical expedient under ASU 2025-05 to assume that current conditions remain unchanged over the life of the receivables and, accordingly, does not incorporate forecasts of future economic conditions beyond those reflected in current conditions. The Company generally writes off a receivable or records a specific allowance for credit losses if it determines that the receivable is not collectible. Allowances for credit losses of $2,300 and $2,235 were provided in the accompanying condensed consolidated financial statements as of March 31, 2026 and December 31, 2025,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Accounts receivable consists of the following: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38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80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4"/>
          </w:tcPr>
          <w:p>
            <w:pPr>
              <w:jc w:val="right"/>
              <w:ind w:right="1009"/>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Trade receivables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83,231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94,556</w:t>
            </w:r>
          </w:p>
        </w:tc>
        <w:tc>
          <w:tcPr>
            <w:tcW w:w="0" w:type="dxa"/>
            <w:vAlign w:val="bottom"/>
          </w:tcPr>
          <w:p>
            <w:pPr>
              <w:spacing w:after="0"/>
              <w:rPr>
                <w:sz w:val="1"/>
                <w:szCs w:val="1"/>
                <w:color w:val="auto"/>
              </w:rPr>
            </w:pPr>
          </w:p>
        </w:tc>
      </w:tr>
      <w:tr>
        <w:trPr>
          <w:trHeight w:val="263"/>
        </w:trPr>
        <w:tc>
          <w:tcPr>
            <w:tcW w:w="8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Unbilled receivables</w:t>
            </w: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10,909</w:t>
            </w:r>
          </w:p>
        </w:tc>
        <w:tc>
          <w:tcPr>
            <w:tcW w:w="0" w:type="dxa"/>
            <w:vAlign w:val="bottom"/>
          </w:tcPr>
          <w:p>
            <w:pPr>
              <w:spacing w:after="0"/>
              <w:rPr>
                <w:sz w:val="1"/>
                <w:szCs w:val="1"/>
                <w:color w:val="auto"/>
              </w:rPr>
            </w:pPr>
          </w:p>
        </w:tc>
      </w:tr>
      <w:tr>
        <w:trPr>
          <w:trHeight w:val="35"/>
        </w:trPr>
        <w:tc>
          <w:tcPr>
            <w:tcW w:w="8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receivables</w:t>
            </w:r>
          </w:p>
        </w:tc>
        <w:tc>
          <w:tcPr>
            <w:tcW w:w="16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295</w:t>
            </w:r>
          </w:p>
        </w:tc>
        <w:tc>
          <w:tcPr>
            <w:tcW w:w="0" w:type="dxa"/>
            <w:vAlign w:val="bottom"/>
          </w:tcPr>
          <w:p>
            <w:pPr>
              <w:spacing w:after="0"/>
              <w:rPr>
                <w:sz w:val="1"/>
                <w:szCs w:val="1"/>
                <w:color w:val="auto"/>
              </w:rPr>
            </w:pPr>
          </w:p>
        </w:tc>
      </w:tr>
      <w:tr>
        <w:trPr>
          <w:trHeight w:val="263"/>
        </w:trPr>
        <w:tc>
          <w:tcPr>
            <w:tcW w:w="8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Allowances for credit losses</w:t>
            </w: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(2,235)</w:t>
            </w:r>
          </w:p>
        </w:tc>
        <w:tc>
          <w:tcPr>
            <w:tcW w:w="0" w:type="dxa"/>
            <w:vAlign w:val="bottom"/>
          </w:tcPr>
          <w:p>
            <w:pPr>
              <w:spacing w:after="0"/>
              <w:rPr>
                <w:sz w:val="1"/>
                <w:szCs w:val="1"/>
                <w:color w:val="auto"/>
              </w:rPr>
            </w:pPr>
          </w:p>
        </w:tc>
      </w:tr>
      <w:tr>
        <w:trPr>
          <w:trHeight w:val="34"/>
        </w:trPr>
        <w:tc>
          <w:tcPr>
            <w:tcW w:w="80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Accounts receivable,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96,072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103,525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20"/>
                <w:szCs w:val="20"/>
                <w:color w:val="auto"/>
              </w:rPr>
              <w:t>The following table presents the information regarding the allowance for credit losses: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8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38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80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4"/>
          </w:tcPr>
          <w:p>
            <w:pPr>
              <w:jc w:val="right"/>
              <w:ind w:right="1009"/>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Beginning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2,235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2,164</w:t>
            </w:r>
          </w:p>
        </w:tc>
        <w:tc>
          <w:tcPr>
            <w:tcW w:w="0" w:type="dxa"/>
            <w:vAlign w:val="bottom"/>
          </w:tcPr>
          <w:p>
            <w:pPr>
              <w:spacing w:after="0"/>
              <w:rPr>
                <w:sz w:val="1"/>
                <w:szCs w:val="1"/>
                <w:color w:val="auto"/>
              </w:rPr>
            </w:pPr>
          </w:p>
        </w:tc>
      </w:tr>
      <w:tr>
        <w:trPr>
          <w:trHeight w:val="263"/>
        </w:trPr>
        <w:tc>
          <w:tcPr>
            <w:tcW w:w="8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Provision for credit losses</w:t>
            </w: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1,144</w:t>
            </w:r>
          </w:p>
        </w:tc>
        <w:tc>
          <w:tcPr>
            <w:tcW w:w="0" w:type="dxa"/>
            <w:vAlign w:val="bottom"/>
          </w:tcPr>
          <w:p>
            <w:pPr>
              <w:spacing w:after="0"/>
              <w:rPr>
                <w:sz w:val="1"/>
                <w:szCs w:val="1"/>
                <w:color w:val="auto"/>
              </w:rPr>
            </w:pPr>
          </w:p>
        </w:tc>
      </w:tr>
      <w:tr>
        <w:trPr>
          <w:trHeight w:val="35"/>
        </w:trPr>
        <w:tc>
          <w:tcPr>
            <w:tcW w:w="8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Charge-offs, net of recoveries</w:t>
            </w:r>
          </w:p>
        </w:tc>
        <w:tc>
          <w:tcPr>
            <w:tcW w:w="16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(1,073)</w:t>
            </w:r>
          </w:p>
        </w:tc>
        <w:tc>
          <w:tcPr>
            <w:tcW w:w="0" w:type="dxa"/>
            <w:vAlign w:val="bottom"/>
          </w:tcPr>
          <w:p>
            <w:pPr>
              <w:spacing w:after="0"/>
              <w:rPr>
                <w:sz w:val="1"/>
                <w:szCs w:val="1"/>
                <w:color w:val="auto"/>
              </w:rPr>
            </w:pPr>
          </w:p>
        </w:tc>
      </w:tr>
      <w:tr>
        <w:trPr>
          <w:trHeight w:val="287"/>
        </w:trPr>
        <w:tc>
          <w:tcPr>
            <w:tcW w:w="80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Ending balance of allowances for credit losses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2,300</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2,235</w:t>
            </w:r>
          </w:p>
        </w:tc>
        <w:tc>
          <w:tcPr>
            <w:tcW w:w="0" w:type="dxa"/>
            <w:vAlign w:val="bottom"/>
          </w:tcPr>
          <w:p>
            <w:pPr>
              <w:spacing w:after="0"/>
              <w:rPr>
                <w:sz w:val="1"/>
                <w:szCs w:val="1"/>
                <w:color w:val="auto"/>
              </w:rPr>
            </w:pPr>
          </w:p>
        </w:tc>
      </w:tr>
      <w:tr>
        <w:trPr>
          <w:trHeight w:val="24"/>
        </w:trPr>
        <w:tc>
          <w:tcPr>
            <w:tcW w:w="8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i w:val="1"/>
          <w:iCs w:val="1"/>
          <w:color w:val="auto"/>
        </w:rPr>
        <w:t>(h)</w:t>
      </w:r>
      <w:r>
        <w:rPr>
          <w:sz w:val="20"/>
          <w:szCs w:val="20"/>
          <w:color w:val="auto"/>
        </w:rPr>
        <w:tab/>
      </w:r>
      <w:r>
        <w:rPr>
          <w:rFonts w:ascii="Times New Roman" w:cs="Times New Roman" w:eastAsia="Times New Roman" w:hAnsi="Times New Roman"/>
          <w:sz w:val="19"/>
          <w:szCs w:val="19"/>
          <w:b w:val="1"/>
          <w:bCs w:val="1"/>
          <w:i w:val="1"/>
          <w:iCs w:val="1"/>
          <w:color w:val="auto"/>
        </w:rPr>
        <w:t>Derivative Instruments</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the normal course of business, the Company is subject to risk from adverse fluctuations in interest rates. The Company has chosen to manage this risk through the use of derivative financial instruments that consist of interest rate swap contracts. Counterparties to these contracts are major financial institutions. The Company is exposed to credit loss in the event of nonperformance by these counterparties. The Company does not use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derivative instruments for trading or speculative purposes. The objective of managing exposure to market risk is to limit its impact on cash flows. To qualify for hedge accounting, the interest rate swaps must effectively reduce the risk exposure that they are designed to hedge. In addition, at the inception of a qualifying cash flow hedging relationship, the underlying transaction or transactions must be, and be expected to remain, probable of occurring in accordance with the related assertions.</w:t>
      </w:r>
    </w:p>
    <w:p>
      <w:pPr>
        <w:spacing w:after="0" w:line="1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FASB ASC 815, “Derivatives and Hedging,” requires the Company to recognize all derivatives on the balance sheet at fair value. The Company may enter into derivative contracts such as interest rate swap contracts that effectively convert portions of the Company’s floating rate debt to a fixed rate, which serves to mitigate interest rate risk. The Company’s objectives in using interest rate swaps are to add stability to interest expense and to manage its exposure to interest rate movements. Interest rate swaps designated as cash flow hedges involve the receipt of variable-rate amounts from a counterparty in exchange for the Company making fixed-rate payments over the life of the agreements without exchange of the underlying notional amount.</w:t>
      </w:r>
    </w:p>
    <w:p>
      <w:pPr>
        <w:spacing w:after="0" w:line="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entered into an interest rate swap agreement in May 2022 that pays fixed, receives variable to modify the interest rate characteristics of term loan debt from variable to fixed in order to reduce the impact of changes in future cash flows due to market interest rate changes. The swap agreement has a notional amount of $230,000, a fixed rate of 2.8% and a termination date of August 31, 2025 (“Matured Swap”). As the swap approached maturity, the Company entered into two additional interest rate swap agreements (“New Swaps”) in the second quarter of 2025, each with a notional amount of $115,000, to continue hedging the interest rate risk associated with the term loan debt. These new swaps also pay fixed interest rates and receive variable rates. The fixed interest rates on the two swaps are 3.62% and 3.64%, respectively. Both contracts became effective on August 31, 2025, and will mature on August 31, 2029. The Company designates these swaps as cash flow hedges at hedge inception. At March 31, 2026 and December 31, 2025, the Matured Swap had a fair value of $0. The New Swaps had total fair value of $(672) and $(2,322) at March 31, 2026 and December 31, 2025, respectively. The gross fair value recognized in accumulated other comprehensive income (loss) was $(672) and $(2,322) at March 31, 2026 and December 31, 2025, respectively.</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uses derivatives to manage certain interest exposures and designates all the derivatives as cash flow hedges. The Company records derivatives at fair value on its condensed consolidated balance sheets. Changes in the fair value of derivatives designated as cash flow hedges are recorded as a component of accumulated other comprehensive income (loss). Those amounts are reclassified into interest expenses in the same period during which the hedged transactions impact earnings. The amount of derivative gains reclassified from accumulated other comprehensive income on derivative instruments recognized in the Company’s condensed consolidated statements of operations and comprehensive income (loss) was $33 and $942 for the three months ended March 31, 2026 and 2025, respectively.</w:t>
      </w:r>
    </w:p>
    <w:p>
      <w:pPr>
        <w:spacing w:after="0" w:line="17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notional amounts, fair values, and classification of derivative instruments in the condensed consolidated balance sheets as of March 31, 2026 and December 31, 2025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swap derivatives designated as cash flow hedging instruments:</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0"/>
        </w:trPr>
        <w:tc>
          <w:tcPr>
            <w:tcW w:w="77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207"/>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Pr>
          <w:p>
            <w:pPr>
              <w:spacing w:after="0"/>
              <w:rPr>
                <w:sz w:val="17"/>
                <w:szCs w:val="17"/>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7"/>
        </w:trPr>
        <w:tc>
          <w:tcPr>
            <w:tcW w:w="7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gridSpan w:val="3"/>
          </w:tcPr>
          <w:p>
            <w:pPr>
              <w:jc w:val="right"/>
              <w:ind w:right="107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Notional amounts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20"/>
                <w:szCs w:val="20"/>
                <w:color w:val="auto"/>
              </w:rPr>
              <w:t>230,000</w:t>
            </w:r>
          </w:p>
        </w:tc>
        <w:tc>
          <w:tcPr>
            <w:tcW w:w="3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230,000</w:t>
            </w:r>
          </w:p>
        </w:tc>
        <w:tc>
          <w:tcPr>
            <w:tcW w:w="0" w:type="dxa"/>
            <w:vAlign w:val="bottom"/>
          </w:tcPr>
          <w:p>
            <w:pPr>
              <w:spacing w:after="0"/>
              <w:rPr>
                <w:sz w:val="1"/>
                <w:szCs w:val="1"/>
                <w:color w:val="auto"/>
              </w:rPr>
            </w:pPr>
          </w:p>
        </w:tc>
      </w:tr>
      <w:tr>
        <w:trPr>
          <w:trHeight w:val="26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26</w:t>
            </w: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4"/>
        </w:trPr>
        <w:tc>
          <w:tcPr>
            <w:tcW w:w="7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533</w:t>
            </w:r>
          </w:p>
        </w:tc>
        <w:tc>
          <w:tcPr>
            <w:tcW w:w="0" w:type="dxa"/>
            <w:vAlign w:val="bottom"/>
          </w:tcPr>
          <w:p>
            <w:pPr>
              <w:spacing w:after="0"/>
              <w:rPr>
                <w:sz w:val="1"/>
                <w:szCs w:val="1"/>
                <w:color w:val="auto"/>
              </w:rPr>
            </w:pPr>
          </w:p>
        </w:tc>
      </w:tr>
      <w:tr>
        <w:trPr>
          <w:trHeight w:val="26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697</w:t>
            </w: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1,789</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The net amount of deferred gain related to derivative instruments designated as cash flow hedges that is expected to be reclassified from accumulated other comprehensive gain (loss) into earnings over the next twelve month</w:t>
      </w:r>
      <w:r>
        <w:rPr>
          <w:rFonts w:ascii="Times New Roman" w:cs="Times New Roman" w:eastAsia="Times New Roman" w:hAnsi="Times New Roman"/>
          <w:sz w:val="21"/>
          <w:szCs w:val="21"/>
          <w:color w:val="auto"/>
        </w:rPr>
        <w:t>s</w:t>
      </w:r>
      <w:r>
        <w:rPr>
          <w:rFonts w:ascii="Times New Roman" w:cs="Times New Roman" w:eastAsia="Times New Roman" w:hAnsi="Times New Roman"/>
          <w:sz w:val="20"/>
          <w:szCs w:val="20"/>
          <w:color w:val="auto"/>
        </w:rPr>
        <w:t xml:space="preserve"> is $26.</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i w:val="1"/>
          <w:iCs w:val="1"/>
          <w:color w:val="auto"/>
        </w:rPr>
        <w:t>(i)</w:t>
      </w:r>
      <w:r>
        <w:rPr>
          <w:sz w:val="20"/>
          <w:szCs w:val="20"/>
          <w:color w:val="auto"/>
        </w:rPr>
        <w:tab/>
      </w:r>
      <w:r>
        <w:rPr>
          <w:rFonts w:ascii="Times New Roman" w:cs="Times New Roman" w:eastAsia="Times New Roman" w:hAnsi="Times New Roman"/>
          <w:sz w:val="19"/>
          <w:szCs w:val="19"/>
          <w:b w:val="1"/>
          <w:bCs w:val="1"/>
          <w:i w:val="1"/>
          <w:iCs w:val="1"/>
          <w:color w:val="auto"/>
        </w:rPr>
        <w:t>Revenue Recognition</w:t>
      </w:r>
    </w:p>
    <w:p>
      <w:pPr>
        <w:spacing w:after="0" w:line="2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In accordance with ASC Topic 606, “Revenue from Contracts with Customers”, the Company determines revenue recognition through the following steps:</w:t>
      </w:r>
    </w:p>
    <w:p>
      <w:pPr>
        <w:spacing w:after="0" w:line="2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 Identification of the contract, or contracts, with a customer</w:t>
      </w:r>
    </w:p>
    <w:p>
      <w:pPr>
        <w:spacing w:after="0" w:line="364" w:lineRule="exact"/>
        <w:rPr>
          <w:sz w:val="20"/>
          <w:szCs w:val="20"/>
          <w:color w:val="auto"/>
        </w:rPr>
      </w:pPr>
    </w:p>
    <w:p>
      <w:pPr>
        <w:ind w:left="540" w:hanging="208"/>
        <w:spacing w:after="0"/>
        <w:tabs>
          <w:tab w:leader="none" w:pos="5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performance obligations in the contract</w:t>
      </w:r>
    </w:p>
    <w:p>
      <w:pPr>
        <w:spacing w:after="0" w:line="364" w:lineRule="exact"/>
        <w:rPr>
          <w:rFonts w:ascii="Times New Roman" w:cs="Times New Roman" w:eastAsia="Times New Roman" w:hAnsi="Times New Roman"/>
          <w:sz w:val="20"/>
          <w:szCs w:val="20"/>
          <w:color w:val="auto"/>
        </w:rPr>
      </w:pPr>
    </w:p>
    <w:p>
      <w:pPr>
        <w:ind w:left="600" w:hanging="268"/>
        <w:spacing w:after="0"/>
        <w:tabs>
          <w:tab w:leader="none" w:pos="6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 of the transaction price</w:t>
      </w:r>
    </w:p>
    <w:p>
      <w:pPr>
        <w:spacing w:after="0" w:line="364" w:lineRule="exact"/>
        <w:rPr>
          <w:rFonts w:ascii="Times New Roman" w:cs="Times New Roman" w:eastAsia="Times New Roman" w:hAnsi="Times New Roman"/>
          <w:sz w:val="20"/>
          <w:szCs w:val="20"/>
          <w:color w:val="auto"/>
        </w:rPr>
      </w:pPr>
    </w:p>
    <w:p>
      <w:pPr>
        <w:ind w:left="580" w:hanging="248"/>
        <w:spacing w:after="0"/>
        <w:tabs>
          <w:tab w:leader="none" w:pos="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Allocation of the transaction price to the performance obligations in the contract</w:t>
      </w:r>
    </w:p>
    <w:p>
      <w:pPr>
        <w:spacing w:after="0" w:line="364" w:lineRule="exact"/>
        <w:rPr>
          <w:rFonts w:ascii="Times New Roman" w:cs="Times New Roman" w:eastAsia="Times New Roman" w:hAnsi="Times New Roman"/>
          <w:sz w:val="20"/>
          <w:szCs w:val="20"/>
          <w:color w:val="auto"/>
        </w:rPr>
      </w:pPr>
    </w:p>
    <w:p>
      <w:pPr>
        <w:ind w:left="520" w:hanging="188"/>
        <w:spacing w:after="0"/>
        <w:tabs>
          <w:tab w:leader="none" w:pos="5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revenue when, or as, the Company satisfies a performance obligation</w:t>
      </w:r>
    </w:p>
    <w:p>
      <w:pPr>
        <w:spacing w:after="0" w:line="283"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0"/>
          <w:szCs w:val="20"/>
          <w:color w:val="auto"/>
        </w:rPr>
        <w:t>The Company’s revenue consists of fees for perpetual and term licenses for its software products, post-contract customer support (referred to as maintenance), software as a service (“SaaS”), and professional services including training and other revenue. Revenue is recognized upon transfer of control of promised products or services to customers in an amount that reflects the consideration to which the Company expects to be entitled in exchange for promised goods or services.</w:t>
      </w:r>
    </w:p>
    <w:p>
      <w:pPr>
        <w:spacing w:after="0" w:line="1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describes the nature of the Company’s primary types of revenues and the revenue recognition policies as they pertain to the types of transactions the Company enters into with its customers.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Software Licenses</w:t>
      </w:r>
    </w:p>
    <w:p>
      <w:pPr>
        <w:spacing w:after="0" w:line="2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Software license revenue consists primarily of sales of software licenses downloaded and installed by our customers on their own hardware. The license period is generally one year or less and includes an insignificant amount of customer support to assist the customer with the software. Software license performance obligations are generally recognized upfront at the point in time when the software license has been delivered.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Software as a Service (SaaS) Revenues</w:t>
      </w:r>
    </w:p>
    <w:p>
      <w:pPr>
        <w:spacing w:after="0" w:line="2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SaaS revenues consist of subscription fees for access to, and related support for, the Company’s cloud-based solutions. The Company typically invoices subscription fees in advance in annual installments. The invoice is initially deferred and revenue is recognized ratably over the life of the contract. The Company’s software contracts do not typically include variable consideration or options for future purchases that would not be similar to the original goods.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Software Service</w:t>
      </w:r>
    </w:p>
    <w:p>
      <w:pPr>
        <w:spacing w:after="0" w:line="22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Maintenance services agreements on perpetual software consist of fees for providing software updates and for providing technical support for software products for a specified term. Revenue allocated to maintenance services is recognized ratably over the contract term beginning on the delivery date of each offering. Maintenance contracts generally have a term of one year. While the transfer of control of the software training and implementation performance obligations are over time, the services are typically started and completed within a few days. Due to the quick nature of the performance obligation from start to finish and the insignificant amounts, the Company recognizes any software training or implementation revenue at the completion of the service. Any unrecognized portion of amounts paid in advance for licenses and services is recorded as deferred revenue.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Consulting Service Revenues</w:t>
      </w: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Company’s primary professional services offering includes consulting services, which may be either strategic consulting services, reporting and analysis services, regulatory writing services, or any combination of the three. The Company’s professional services contracts are either time-and-materials or fixed fee. Service revenues are generally recognized over time as the services are performed. Generally, these services are delivered to customers electronically. Revenue from time-and-material contracts is recognized on an output basis as labor hours are delivered and/or direct expenses are incurred. Revenues for fixed-price services are generally recognized over time by applying input methods to estimate progress to completion. Accordingly, the number of resources being paid for and the varying lengths of time they are being paid for determine the measure of progress.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Arrangements with Multiple Performance Obligations</w:t>
      </w:r>
    </w:p>
    <w:p>
      <w:pPr>
        <w:spacing w:after="0" w:line="22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For contracts with multiple performance obligations, such as a software license plus software training, implementation, and/or maintenance/support, or in contracts where there are multiple software licenses, the Company determines if the products or services are distinct and allocates the consideration to each distinct performance obligation on a relative standalone selling price basis. The delivery of a particular type of software and each of the user licenses would be one performance obligation. Additionally, any training, implementation, or support and maintenance promises sold as part of the software license agreement would be considered separate performance obligations, as those promises are distinct and separately identifiable from the software licenses. The payment terms in these arrangements are less than one year such that there is no significant financing component.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Balances</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timing of revenue recognition, billings and cash collections results in billed accounts receivable, unbilled receivables (contract assets), and customer advances and deposits (deferred revenue, contract liabilities) on the condensed consolidated balance sheets. Amounts are billed as work progresses in accordance with agreed-upon contractual terms, either at periodic intervals (e.g., quarterly or monthly) or upon achievement of contractual milestones.</w:t>
      </w:r>
    </w:p>
    <w:p>
      <w:pPr>
        <w:spacing w:after="0" w:line="1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Contract assets relate to the Company’s rights to consideration for performance obligations satisfied but not billed at the reporting date on contracts (i.e., unbilled revenue, a component of accounts receivable in the condensed consolidated balance sheets). Contract assets are billed and transferred to customer accounts receivable when the rights become unconditional. The Company typically invoices customers for term licenses, subscriptions, maintenance and support fees in advance with payment due before the start of the subscription term, ranging from one to three years. The Company records the amounts collected in advance of the satisfaction of performance obligations, usually over time, as a contract liability or deferred revenue. Invoiced amounts for non-cancelable services starting in future periods are included in contract assets and deferred revenue. The portion of deferred revenue that will be recognized within 12 months is recorded as current deferred revenue, and the remaining portion is recorded as deferred revenue in the condensed consolidated balance sheets.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Contract balances at March 31, 2026, December 31, 2025 and 2024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4"/>
                <w:szCs w:val="14"/>
                <w:color w:val="auto"/>
              </w:rPr>
            </w:pP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6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7"/>
                <w:szCs w:val="17"/>
                <w:color w:val="auto"/>
              </w:rPr>
            </w:pPr>
          </w:p>
        </w:tc>
        <w:tc>
          <w:tcPr>
            <w:tcW w:w="14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14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6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7"/>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Contract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20"/>
                <w:szCs w:val="20"/>
                <w:color w:val="auto"/>
              </w:rPr>
              <w:t>14,907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10,909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13,454</w:t>
            </w:r>
          </w:p>
        </w:tc>
      </w:tr>
      <w:tr>
        <w:trPr>
          <w:trHeight w:val="263"/>
        </w:trPr>
        <w:tc>
          <w:tcPr>
            <w:tcW w:w="61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Contract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auto"/>
              </w:rPr>
              <w:t>79,580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77,762</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6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During the three months ended March 31, 2026, the Company recognized revenue of $34,551 related to contract liabilities at December 31, 2025.</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unsatisfied performance obligations as of March 31, 2026 were $152,452. We expect to recognize $125,863, or 82.6% of this revenue over the next 12 months and the remainder thereafter.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Deferred Contract Acquisition Costs</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Under ASC Topic 606, sales commissions paid to the sales force and the related employer payroll taxes, collectively deferred contract acquisition costs, are considered incremental and recoverable costs of obtaining a contract with a customer.</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Company recognizes an asset for the incremental costs of obtaining a contract with a customer if it expects the benefit of those costs to be longer than one year. The Company has determined that certain sales incentive programs meet the requirements to be capitalized. The costs capitalized are primarily sales commissions for our sales force personnel. Capitalized costs to obtain a contract are amortized on a straight-line basis over the expected period of benefit. Amortization of capitalized costs is included in sales and marketing expenses in our condensed consolidated statements of operations and comprehensive income (loss).</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Capitalized contract acquisition costs were $1,706 and $1,351 as of March 31, 2026 and December 31, 2025, respectively, and were included in prepaid expenses and other current assets in the condensed consolidated balance sheets.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Grant Revenue</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receives grant funding for certain specific projects from time to time. These grants specify the funds provided are to be used exclusively to satisfy the deliverables outlined in the grant agreements. If, under these agreements, both involved parties receive and sacrifice approximately commensurate value, they are accounted for as exchange transactions, and revenue is recognized according to ASC Topic 606. The grant funding is generally provided near contract inception, so a contract liability is initially recorded and revenue is recognized as the performance obligations are satisfied over time. If these agreements involve one party nonreciprocally transferring value to another, and any benefit to the transferor is incidental to the potential public benefits, they are accounted for as contribution transactions, and revenue is recognized in accordance with ASC Topic 958.</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Sources and Timing of Revenue</w:t>
      </w:r>
    </w:p>
    <w:p>
      <w:pPr>
        <w:spacing w:after="0" w:line="20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Company’s performance obligations are satisfied either over time or at a point in time. The following table presents the Company’s revenue by timing of revenue recognition to understand the risks of timing of transfer of control and cash flows: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Software licenses transferred at a point in time</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Software licenses transferred over time</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Service revenues earned over time</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25285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1460" w:type="dxa"/>
            <w:vAlign w:val="bottom"/>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jc w:val="right"/>
              <w:ind w:right="72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8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gridSpan w:val="3"/>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17"/>
        </w:trPr>
        <w:tc>
          <w:tcPr>
            <w:tcW w:w="480" w:type="dxa"/>
            <w:vAlign w:val="bottom"/>
          </w:tcPr>
          <w:p>
            <w:pPr>
              <w:spacing w:after="0"/>
              <w:rPr>
                <w:sz w:val="18"/>
                <w:szCs w:val="18"/>
                <w:color w:val="auto"/>
              </w:rPr>
            </w:pPr>
          </w:p>
        </w:tc>
        <w:tc>
          <w:tcPr>
            <w:tcW w:w="2200" w:type="dxa"/>
            <w:vAlign w:val="bottom"/>
            <w:gridSpan w:val="3"/>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300" w:type="dxa"/>
            <w:vAlign w:val="bottom"/>
          </w:tcPr>
          <w:p>
            <w:pPr>
              <w:spacing w:after="0"/>
              <w:rPr>
                <w:sz w:val="18"/>
                <w:szCs w:val="18"/>
                <w:color w:val="auto"/>
              </w:rPr>
            </w:pPr>
          </w:p>
        </w:tc>
      </w:tr>
      <w:tr>
        <w:trPr>
          <w:trHeight w:val="282"/>
        </w:trPr>
        <w:tc>
          <w:tcPr>
            <w:tcW w:w="4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21,523</w:t>
            </w:r>
          </w:p>
        </w:tc>
        <w:tc>
          <w:tcPr>
            <w:tcW w:w="100" w:type="dxa"/>
            <w:vAlign w:val="bottom"/>
          </w:tcPr>
          <w:p>
            <w:pPr>
              <w:spacing w:after="0"/>
              <w:rPr>
                <w:sz w:val="24"/>
                <w:szCs w:val="24"/>
                <w:color w:val="auto"/>
              </w:rPr>
            </w:pPr>
          </w:p>
        </w:tc>
        <w:tc>
          <w:tcPr>
            <w:tcW w:w="64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19,863</w:t>
            </w:r>
          </w:p>
        </w:tc>
      </w:tr>
      <w:tr>
        <w:trPr>
          <w:trHeight w:val="297"/>
        </w:trPr>
        <w:tc>
          <w:tcPr>
            <w:tcW w:w="4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28,203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26,506</w:t>
            </w:r>
          </w:p>
        </w:tc>
      </w:tr>
      <w:tr>
        <w:trPr>
          <w:trHeight w:val="297"/>
        </w:trPr>
        <w:tc>
          <w:tcPr>
            <w:tcW w:w="4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57,189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59,635</w:t>
            </w:r>
          </w:p>
        </w:tc>
      </w:tr>
      <w:tr>
        <w:trPr>
          <w:trHeight w:val="34"/>
        </w:trPr>
        <w:tc>
          <w:tcPr>
            <w:tcW w:w="4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56"/>
        </w:trPr>
        <w:tc>
          <w:tcPr>
            <w:tcW w:w="4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106,915</w:t>
            </w:r>
          </w:p>
        </w:tc>
        <w:tc>
          <w:tcPr>
            <w:tcW w:w="100" w:type="dxa"/>
            <w:vAlign w:val="bottom"/>
          </w:tcPr>
          <w:p>
            <w:pPr>
              <w:spacing w:after="0"/>
              <w:rPr>
                <w:sz w:val="22"/>
                <w:szCs w:val="22"/>
                <w:color w:val="auto"/>
              </w:rPr>
            </w:pPr>
          </w:p>
        </w:tc>
        <w:tc>
          <w:tcPr>
            <w:tcW w:w="64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106,004</w:t>
            </w:r>
          </w:p>
        </w:tc>
      </w:tr>
      <w:tr>
        <w:trPr>
          <w:trHeight w:val="34"/>
        </w:trPr>
        <w:tc>
          <w:tcPr>
            <w:tcW w:w="4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-796290</wp:posOffset>
            </wp:positionV>
            <wp:extent cx="709803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8030" cy="18859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-419100</wp:posOffset>
            </wp:positionV>
            <wp:extent cx="709803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803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80" w:space="720"/>
            <w:col w:w="40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i w:val="1"/>
          <w:iCs w:val="1"/>
          <w:color w:val="auto"/>
        </w:rPr>
        <w:t>(j)</w:t>
      </w:r>
      <w:r>
        <w:rPr>
          <w:sz w:val="20"/>
          <w:szCs w:val="20"/>
          <w:color w:val="auto"/>
        </w:rPr>
        <w:tab/>
      </w:r>
      <w:r>
        <w:rPr>
          <w:rFonts w:ascii="Times New Roman" w:cs="Times New Roman" w:eastAsia="Times New Roman" w:hAnsi="Times New Roman"/>
          <w:sz w:val="19"/>
          <w:szCs w:val="19"/>
          <w:b w:val="1"/>
          <w:bCs w:val="1"/>
          <w:i w:val="1"/>
          <w:iCs w:val="1"/>
          <w:color w:val="auto"/>
        </w:rPr>
        <w:t>Goodwill</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As of March 31, 2026, the Company had three reporting units – Certara Data Science Software (“CDS”), the Certara Predictive Technologies reporting unit (“CPT”), and the Certara Drug Development Services reporting unit (“CDDS”), which are within a single operating segment of the Company. Goodwill is tested for impairment at the reporting unit level, which is one level below or the same as an operating segment. When testing goodwill for impairment, the Company performs a qualitative assessment to determine whether events or circumstances lead to a determination that it is more-likely-than-not that the fair values of the reporting units are less than their carrying amounts. If the Company determines that it is not more-likely-than-not that the fair values of the reporting units are less than their carrying values, no further assessment is performed. If the Company determines that it is more-likely-than-not that the fair values of the reporting units are less than carrying value, the Company proceeds to perform a quantitative goodwill impairment test. If the result of the quantitative test shows that the carrying amount of reporting units exceeds its fair values, an impairment loss is recognized in an amount equal to that excess, limited to the total amount of goodwill allocated to that reporting unit.</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March 31, 2026, the Company has performed a qualitative assessment to determine whether it is more likely than not that the fair value of its reporting units is less than their carrying amounts. Based on the results of the qualitative assessment, the company concluded that it is more likely than not that the fair value of each reporting unit is greater than its respective carrying value. Accordingly, no further quantitative goodwill impairment testing was necessary.</w:t>
      </w:r>
    </w:p>
    <w:p>
      <w:pPr>
        <w:spacing w:after="0" w:line="18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i w:val="1"/>
          <w:iCs w:val="1"/>
          <w:color w:val="auto"/>
        </w:rPr>
        <w:t>(k)</w:t>
      </w:r>
      <w:r>
        <w:rPr>
          <w:sz w:val="20"/>
          <w:szCs w:val="20"/>
          <w:color w:val="auto"/>
        </w:rPr>
        <w:tab/>
      </w:r>
      <w:r>
        <w:rPr>
          <w:rFonts w:ascii="Times New Roman" w:cs="Times New Roman" w:eastAsia="Times New Roman" w:hAnsi="Times New Roman"/>
          <w:sz w:val="19"/>
          <w:szCs w:val="19"/>
          <w:b w:val="1"/>
          <w:bCs w:val="1"/>
          <w:i w:val="1"/>
          <w:iCs w:val="1"/>
          <w:color w:val="auto"/>
        </w:rPr>
        <w:t>Earnings per Share</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Basic earnings per common share is computed by dividing the net earnings by the weighted-average number of shares outstanding during the reporting period, without consideration for potentially dilutive securities. Diluted shares are calculated under the treasury stock method. Diluted earnings per share is calculated by dividing the net earnings attributable to stockholders by the weighted-average number of shares and dilutive securities outstanding during the period.</w:t>
      </w:r>
    </w:p>
    <w:p>
      <w:pPr>
        <w:spacing w:after="0" w:line="18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Concentrations of Credit Risk</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have consisted principally of cash and cash equivalent investments and trade receivables. The Company invests available cash in bank deposits, investment-grade securities, and short-term interest-producing investments, including government obligations and other money market instruments. At March 31, 2026 and December 31, 2025, the investments were bank deposits, overnight sweep accounts, and money market funds. The Company has adopted credit policies and standards to evaluate the risk associated with sales that require collateral, such as letters of credit or bank guarantees, whenever deemed necessary. Management believes that any risk of loss is significantly reduced due to the nature of the customers and distributors with which the Company does business.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March 31, 2026 and December 31, 2025, no single customer accounted for more than 10% of the Company’s accounts receivable. No single customer accounted for more than 10% of the Company’s revenues during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Prepaid Expenses and Other Current Assets and Other Long-Term Assets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Prepaid expense and other current assets at March 31, 2026 and December 31, 2025 consisted of the following:</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40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1049"/>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Prepaid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11,658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8,335</w:t>
            </w:r>
          </w:p>
        </w:tc>
        <w:tc>
          <w:tcPr>
            <w:tcW w:w="0" w:type="dxa"/>
            <w:vAlign w:val="bottom"/>
          </w:tcPr>
          <w:p>
            <w:pPr>
              <w:spacing w:after="0"/>
              <w:rPr>
                <w:sz w:val="1"/>
                <w:szCs w:val="1"/>
                <w:color w:val="auto"/>
              </w:rPr>
            </w:pP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Income tax receivable</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5,388</w:t>
            </w:r>
          </w:p>
        </w:tc>
        <w:tc>
          <w:tcPr>
            <w:tcW w:w="0" w:type="dxa"/>
            <w:vAlign w:val="bottom"/>
          </w:tcPr>
          <w:p>
            <w:pPr>
              <w:spacing w:after="0"/>
              <w:rPr>
                <w:sz w:val="1"/>
                <w:szCs w:val="1"/>
                <w:color w:val="auto"/>
              </w:rPr>
            </w:pPr>
          </w:p>
        </w:tc>
      </w:tr>
      <w:tr>
        <w:trPr>
          <w:trHeight w:val="34"/>
        </w:trPr>
        <w:tc>
          <w:tcPr>
            <w:tcW w:w="7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Research and development tax credit receivable</w:t>
            </w:r>
          </w:p>
        </w:tc>
        <w:tc>
          <w:tcPr>
            <w:tcW w:w="1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7,914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7,352</w:t>
            </w:r>
          </w:p>
        </w:tc>
        <w:tc>
          <w:tcPr>
            <w:tcW w:w="0" w:type="dxa"/>
            <w:vAlign w:val="bottom"/>
          </w:tcPr>
          <w:p>
            <w:pPr>
              <w:spacing w:after="0"/>
              <w:rPr>
                <w:sz w:val="1"/>
                <w:szCs w:val="1"/>
                <w:color w:val="auto"/>
              </w:rPr>
            </w:pP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Current portion of interest rate swap asset</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4"/>
        </w:trPr>
        <w:tc>
          <w:tcPr>
            <w:tcW w:w="7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current assets</w:t>
            </w:r>
          </w:p>
        </w:tc>
        <w:tc>
          <w:tcPr>
            <w:tcW w:w="1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1,786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1,127</w:t>
            </w:r>
          </w:p>
        </w:tc>
        <w:tc>
          <w:tcPr>
            <w:tcW w:w="0" w:type="dxa"/>
            <w:vAlign w:val="bottom"/>
          </w:tcPr>
          <w:p>
            <w:pPr>
              <w:spacing w:after="0"/>
              <w:rPr>
                <w:sz w:val="1"/>
                <w:szCs w:val="1"/>
                <w:color w:val="auto"/>
              </w:rPr>
            </w:pPr>
          </w:p>
        </w:tc>
      </w:tr>
      <w:tr>
        <w:trPr>
          <w:trHeight w:val="284"/>
        </w:trPr>
        <w:tc>
          <w:tcPr>
            <w:tcW w:w="79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25,004</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22,202</w:t>
            </w:r>
          </w:p>
        </w:tc>
        <w:tc>
          <w:tcPr>
            <w:tcW w:w="0" w:type="dxa"/>
            <w:vAlign w:val="bottom"/>
          </w:tcPr>
          <w:p>
            <w:pPr>
              <w:spacing w:after="0"/>
              <w:rPr>
                <w:sz w:val="1"/>
                <w:szCs w:val="1"/>
                <w:color w:val="auto"/>
              </w:rPr>
            </w:pPr>
          </w:p>
        </w:tc>
      </w:tr>
      <w:tr>
        <w:trPr>
          <w:trHeight w:val="27"/>
        </w:trPr>
        <w:tc>
          <w:tcPr>
            <w:tcW w:w="7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long-term assets at March 31, 2026 and December 31, 2025 consisted of the following:</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93"/>
        </w:trPr>
        <w:tc>
          <w:tcPr>
            <w:tcW w:w="7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7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40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1049"/>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Long-term deposits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1,157</w:t>
            </w:r>
          </w:p>
        </w:tc>
        <w:tc>
          <w:tcPr>
            <w:tcW w:w="0" w:type="dxa"/>
            <w:vAlign w:val="bottom"/>
          </w:tcPr>
          <w:p>
            <w:pPr>
              <w:spacing w:after="0"/>
              <w:rPr>
                <w:sz w:val="1"/>
                <w:szCs w:val="1"/>
                <w:color w:val="auto"/>
              </w:rPr>
            </w:pP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Deferred financing cost</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w:t>
            </w:r>
          </w:p>
        </w:tc>
        <w:tc>
          <w:tcPr>
            <w:tcW w:w="0" w:type="dxa"/>
            <w:vAlign w:val="bottom"/>
          </w:tcPr>
          <w:p>
            <w:pPr>
              <w:spacing w:after="0"/>
              <w:rPr>
                <w:sz w:val="1"/>
                <w:szCs w:val="1"/>
                <w:color w:val="auto"/>
              </w:rPr>
            </w:pPr>
          </w:p>
        </w:tc>
      </w:tr>
      <w:tr>
        <w:trPr>
          <w:trHeight w:val="35"/>
        </w:trPr>
        <w:tc>
          <w:tcPr>
            <w:tcW w:w="79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7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Total other long-term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1,604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1,642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Long-Term Debt and Revolving Line of Credit</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Company has been a party to a Credit Agreement since August 2017 that provides for a senior secured term loan and commitments under a revolving credit facility (as amended, the “Credit Agreement”). On June 26, 2024, the Company entered into the Fifth Amendment to its Credit Agreement (the “Fifth Amendment”), which primarily (1) amended the principal amount of the term loan to $300,000 and its maturity date to June 26, 2031; and (2) extended the termination date associated with the $100,000 revolving credit commitment (the “Revolving Facility”) to June 26, 2029. On October 16, 2025, the Company entered into the Sixth Amendment to the Credit Agreement (the “Sixth Amendment”), which primarily refinanced the existing principal amount of the term loan with $296,250 principal amount of replacement term loans with the same maturity date of June 26, 2031 and reduced the applicable rate with respect to the term loans under the Credit Agreement. The Credit Agreement is collateralized by substantially all U.S. assets and stock pledges for the non-U.S. subsidiaries and contains various financial and nonfinancial covenants.</w:t>
      </w:r>
    </w:p>
    <w:p>
      <w:pPr>
        <w:spacing w:after="0" w:line="23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Borrowings under the Credit Agreement bear interest at a rate per annum equal to, at the election of the Company, either (i) the Term Secured Overnight Financing Rate (“SOFR”) rate, with a floor of 0.00% plus an applicable margin rate of 2.75% for the replacement term loans and between 2.75% and 3.50% for loans under the Revolving Facility, depending on the applicable first lien leverage ratio, or (ii) an Alternate Base Rate (“ABR”), with a floor of 1.00%, plus an applicable margin rate of 1.75% for the replacement term loans or between 1.75% and 2.50% for loans under the Revolving Facility, depending on the applicable first lien leverage ratio. The ABR is determined as the greatest of</w:t>
      </w:r>
    </w:p>
    <w:p>
      <w:pPr>
        <w:spacing w:after="0" w:line="1" w:lineRule="exact"/>
        <w:rPr>
          <w:sz w:val="20"/>
          <w:szCs w:val="20"/>
          <w:color w:val="auto"/>
        </w:rPr>
      </w:pPr>
    </w:p>
    <w:p>
      <w:pPr>
        <w:ind w:right="20" w:firstLine="8"/>
        <w:spacing w:after="0" w:line="281" w:lineRule="auto"/>
        <w:tabs>
          <w:tab w:leader="none" w:pos="28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prime rate, (b) the federal funds effective rate, plus 0.50%, and (c) the Term SOFR rate plus 1.00%. Additionally, the Company is obligated to pay a commitment fee of the unused amount and other customary fees.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color w:val="auto"/>
        </w:rPr>
        <w:t>As of each of March 31, 2026 and December 31, 2025, available borrowings under the revolving lines of credit were $100,000.</w:t>
      </w:r>
    </w:p>
    <w:p>
      <w:pPr>
        <w:spacing w:after="0" w:line="2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effective interest rate was 6.44% and 7.33% for the three months ended March 31, 2026 and 2025, respectively, for the term loan debt. As discussed previously, the Company entered into interest rate swap agreements and continues to use the swaps to mitigate the interest risk for the Company's debt obligations under the Credit Agreement.</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Interest incurred on the Credit Agreement with respect to the term loan amounted to $4,754 and $5,470 for the three months ended March 31, 2026 and 2025, respectively. Accrued interest payable on the Credit Agreement with respect to the term loan amounted to $52 and $53 at March 31, 2026 and December 31, 2025, respectively, and is included in accrued expenses. Commitment fees incurred for the undrawn balance of the revolving line of credit was $63 and $94 for the three months ended March 31, 2026 and 2025, respectively. There was $1 accrued interest payable on the revolving line of credit as of each of March 31, 2026 and December 31,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Long-term debt consists of the following:</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7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7"/>
                <w:szCs w:val="17"/>
                <w:color w:val="auto"/>
              </w:rPr>
            </w:pPr>
          </w:p>
        </w:tc>
        <w:tc>
          <w:tcPr>
            <w:tcW w:w="14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9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gridSpan w:val="4"/>
          </w:tcPr>
          <w:p>
            <w:pPr>
              <w:spacing w:after="0"/>
              <w:rPr>
                <w:sz w:val="3"/>
                <w:szCs w:val="3"/>
                <w:color w:val="auto"/>
              </w:rPr>
            </w:pPr>
          </w:p>
        </w:tc>
      </w:tr>
      <w:tr>
        <w:trPr>
          <w:trHeight w:val="237"/>
        </w:trPr>
        <w:tc>
          <w:tcPr>
            <w:tcW w:w="7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1048"/>
              <w:spacing w:after="0"/>
              <w:rPr>
                <w:sz w:val="20"/>
                <w:szCs w:val="20"/>
                <w:color w:val="auto"/>
              </w:rPr>
            </w:pPr>
            <w:r>
              <w:rPr>
                <w:rFonts w:ascii="Times New Roman" w:cs="Times New Roman" w:eastAsia="Times New Roman" w:hAnsi="Times New Roman"/>
                <w:sz w:val="18"/>
                <w:szCs w:val="18"/>
                <w:color w:val="auto"/>
              </w:rPr>
              <w:t>(In thousands)</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Term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294,769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295,509</w:t>
            </w: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Revolving line of credit</w:t>
            </w:r>
          </w:p>
        </w:tc>
        <w:tc>
          <w:tcPr>
            <w:tcW w:w="180" w:type="dxa"/>
            <w:vAlign w:val="bottom"/>
          </w:tcPr>
          <w:p>
            <w:pPr>
              <w:spacing w:after="0"/>
              <w:rPr>
                <w:sz w:val="22"/>
                <w:szCs w:val="22"/>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5"/>
        </w:trPr>
        <w:tc>
          <w:tcPr>
            <w:tcW w:w="7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9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Less: debt issuance costs</w:t>
            </w:r>
          </w:p>
        </w:tc>
        <w:tc>
          <w:tcPr>
            <w:tcW w:w="1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(2,302)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(2,415)</w:t>
            </w:r>
          </w:p>
        </w:tc>
      </w:tr>
      <w:tr>
        <w:trPr>
          <w:trHeight w:val="256"/>
        </w:trPr>
        <w:tc>
          <w:tcPr>
            <w:tcW w:w="7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292,467</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293,094</w:t>
            </w:r>
          </w:p>
        </w:tc>
      </w:tr>
      <w:tr>
        <w:trPr>
          <w:trHeight w:val="35"/>
        </w:trPr>
        <w:tc>
          <w:tcPr>
            <w:tcW w:w="7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9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1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(2,963)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(2,963)</w:t>
            </w:r>
          </w:p>
        </w:tc>
      </w:tr>
      <w:tr>
        <w:trPr>
          <w:trHeight w:val="287"/>
        </w:trPr>
        <w:tc>
          <w:tcPr>
            <w:tcW w:w="7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Long-term debt, net of current portion and debt issuance costs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289,504</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290,131</w:t>
            </w:r>
          </w:p>
        </w:tc>
      </w:tr>
      <w:tr>
        <w:trPr>
          <w:trHeight w:val="24"/>
        </w:trPr>
        <w:tc>
          <w:tcPr>
            <w:tcW w:w="7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principal amount of long-term debt outstanding as of March 31, 2026 matures in the following years: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Remainder of 2026</w:t>
            </w:r>
          </w:p>
        </w:tc>
        <w:tc>
          <w:tcPr>
            <w:tcW w:w="360" w:type="dxa"/>
            <w:vAlign w:val="bottom"/>
          </w:tcPr>
          <w:p>
            <w:pPr>
              <w:spacing w:after="0"/>
              <w:rPr>
                <w:sz w:val="16"/>
                <w:szCs w:val="16"/>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2027</w:t>
            </w:r>
          </w:p>
        </w:tc>
        <w:tc>
          <w:tcPr>
            <w:tcW w:w="36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2028</w:t>
            </w:r>
          </w:p>
        </w:tc>
        <w:tc>
          <w:tcPr>
            <w:tcW w:w="36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2029</w:t>
            </w:r>
          </w:p>
        </w:tc>
        <w:tc>
          <w:tcPr>
            <w:tcW w:w="380" w:type="dxa"/>
            <w:vAlign w:val="bottom"/>
          </w:tcPr>
          <w:p>
            <w:pPr>
              <w:spacing w:after="0"/>
              <w:rPr>
                <w:sz w:val="16"/>
                <w:szCs w:val="16"/>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2030</w:t>
            </w:r>
          </w:p>
        </w:tc>
        <w:tc>
          <w:tcPr>
            <w:tcW w:w="280" w:type="dxa"/>
            <w:vAlign w:val="bottom"/>
          </w:tcPr>
          <w:p>
            <w:pPr>
              <w:spacing w:after="0"/>
              <w:rPr>
                <w:sz w:val="16"/>
                <w:szCs w:val="16"/>
                <w:color w:val="auto"/>
              </w:rPr>
            </w:pPr>
          </w:p>
        </w:tc>
        <w:tc>
          <w:tcPr>
            <w:tcW w:w="10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320" w:type="dxa"/>
            <w:vAlign w:val="bottom"/>
          </w:tcPr>
          <w:p>
            <w:pPr>
              <w:spacing w:after="0"/>
              <w:rPr>
                <w:sz w:val="16"/>
                <w:szCs w:val="16"/>
                <w:color w:val="auto"/>
              </w:rPr>
            </w:pPr>
          </w:p>
        </w:tc>
        <w:tc>
          <w:tcPr>
            <w:tcW w:w="10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0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6"/>
        </w:trPr>
        <w:tc>
          <w:tcPr>
            <w:tcW w:w="2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2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Maturities</w:t>
            </w: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2,222</w:t>
            </w:r>
          </w:p>
        </w:tc>
        <w:tc>
          <w:tcPr>
            <w:tcW w:w="3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20"/>
                <w:szCs w:val="20"/>
                <w:color w:val="auto"/>
              </w:rPr>
              <w:t>2,963</w:t>
            </w:r>
          </w:p>
        </w:tc>
        <w:tc>
          <w:tcPr>
            <w:tcW w:w="3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20"/>
                <w:szCs w:val="20"/>
                <w:color w:val="auto"/>
              </w:rPr>
              <w:t>2,963</w:t>
            </w:r>
          </w:p>
        </w:tc>
        <w:tc>
          <w:tcPr>
            <w:tcW w:w="3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20"/>
                <w:szCs w:val="20"/>
                <w:color w:val="auto"/>
              </w:rPr>
              <w:t>2,963</w:t>
            </w:r>
          </w:p>
        </w:tc>
        <w:tc>
          <w:tcPr>
            <w:tcW w:w="3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2,963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20"/>
                <w:szCs w:val="20"/>
                <w:color w:val="auto"/>
              </w:rPr>
              <w:t>280,695</w:t>
            </w:r>
          </w:p>
        </w:tc>
        <w:tc>
          <w:tcPr>
            <w:tcW w:w="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294,769</w:t>
            </w:r>
          </w:p>
        </w:tc>
      </w:tr>
      <w:tr>
        <w:trPr>
          <w:trHeight w:val="35"/>
        </w:trPr>
        <w:tc>
          <w:tcPr>
            <w:tcW w:w="20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bl>
    <w:p>
      <w:pPr>
        <w:spacing w:after="0" w:line="2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Credit Agreements require the Company to make an annual mandatory prepayment as it relates to the Company’s Excess Cash Flow calculation. For the year ended December 31, 2025, the Company was not required to make a mandatory prepayment on the term loan. Under the Credit Agreement (as amended by the Sixth Amendment), the Company is required to make a quarterly principal payment of $741 on the term loans that started on December 31, 2025.</w:t>
      </w:r>
    </w:p>
    <w:p>
      <w:pPr>
        <w:spacing w:after="0" w:line="18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fair values of the Company’s variable interest term loan and revolving line of credit are not significantly different than their carrying value because the interest rates on these instruments are subject to change with market interest rates.</w:t>
      </w:r>
    </w:p>
    <w:p>
      <w:pPr>
        <w:spacing w:after="0" w:line="14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Leases</w:t>
      </w:r>
    </w:p>
    <w:p>
      <w:pPr>
        <w:spacing w:after="0" w:line="27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 leases certain office facilities and equipment under non-cancelable operating leases with remaining terms ranging from less than one to nine years.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24" w:name="page25"/>
    <w:bookmarkEnd w:id="24"/>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Operating lease ROU assets are included in other assets. With respect to operating lease liabilities, current operating lease liabilities are included in current liabilities and non-current operating lease liabilities are included in long-term liabilities in the condensed consolidated balance sheets. At March 31, 2026, the weighted average remaining lease terms was 5.8 years for operating leases, and the weighted average discount rate was 5.9% for operating leases. For additional information on the Company's leases, see Note 13. “Leases” to the consolidated financial statements included in the Company’s 2025 Annual Report.</w:t>
      </w:r>
    </w:p>
    <w:p>
      <w:pPr>
        <w:spacing w:after="0" w:line="19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lease-related assets and liabilities recorded in the condensed consolidated balance sheets at March 31, 2026 and December 31,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82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Lease Position</w:t>
            </w:r>
          </w:p>
        </w:tc>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200" w:type="dxa"/>
            <w:vAlign w:val="bottom"/>
          </w:tcPr>
          <w:p>
            <w:pPr>
              <w:spacing w:after="0"/>
              <w:rPr>
                <w:sz w:val="16"/>
                <w:szCs w:val="16"/>
                <w:color w:val="auto"/>
              </w:rPr>
            </w:pP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520" w:type="dxa"/>
            <w:vAlign w:val="bottom"/>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4"/>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5"/>
          </w:tcPr>
          <w:p>
            <w:pPr>
              <w:jc w:val="right"/>
              <w:ind w:right="1086"/>
              <w:spacing w:after="0"/>
              <w:rPr>
                <w:sz w:val="20"/>
                <w:szCs w:val="20"/>
                <w:color w:val="auto"/>
              </w:rPr>
            </w:pPr>
            <w:r>
              <w:rPr>
                <w:rFonts w:ascii="Times New Roman" w:cs="Times New Roman" w:eastAsia="Times New Roman" w:hAnsi="Times New Roman"/>
                <w:sz w:val="18"/>
                <w:szCs w:val="18"/>
                <w:color w:val="auto"/>
              </w:rPr>
              <w:t>(In thousands)</w:t>
            </w:r>
          </w:p>
        </w:tc>
      </w:tr>
      <w:tr>
        <w:trPr>
          <w:trHeight w:val="243"/>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3"/>
          </w:tcPr>
          <w:p>
            <w:pPr>
              <w:jc w:val="center"/>
              <w:ind w:right="1200"/>
              <w:spacing w:after="0"/>
              <w:rPr>
                <w:sz w:val="20"/>
                <w:szCs w:val="20"/>
                <w:color w:val="auto"/>
              </w:rPr>
            </w:pPr>
            <w:r>
              <w:rPr>
                <w:rFonts w:ascii="Times New Roman" w:cs="Times New Roman" w:eastAsia="Times New Roman" w:hAnsi="Times New Roman"/>
                <w:sz w:val="20"/>
                <w:szCs w:val="20"/>
                <w:b w:val="1"/>
                <w:bCs w:val="1"/>
                <w:color w:val="auto"/>
                <w:w w:val="97"/>
              </w:rPr>
              <w:t>Assets</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61"/>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20" w:type="dxa"/>
            <w:vAlign w:val="bottom"/>
          </w:tcPr>
          <w:p>
            <w:pPr>
              <w:spacing w:after="0"/>
              <w:rPr>
                <w:sz w:val="5"/>
                <w:szCs w:val="5"/>
                <w:color w:val="auto"/>
              </w:rPr>
            </w:pPr>
          </w:p>
        </w:tc>
      </w:tr>
      <w:tr>
        <w:trPr>
          <w:trHeight w:val="297"/>
        </w:trPr>
        <w:tc>
          <w:tcPr>
            <w:tcW w:w="20" w:type="dxa"/>
            <w:vAlign w:val="bottom"/>
            <w:tcBorders>
              <w:bottom w:val="single" w:sz="8" w:color="CCEEFF"/>
            </w:tcBorders>
            <w:shd w:val="clear" w:color="auto" w:fill="CCEEFF"/>
          </w:tcPr>
          <w:p>
            <w:pPr>
              <w:spacing w:after="0"/>
              <w:rPr>
                <w:sz w:val="24"/>
                <w:szCs w:val="24"/>
                <w:color w:val="auto"/>
              </w:rPr>
            </w:pPr>
          </w:p>
        </w:tc>
        <w:tc>
          <w:tcPr>
            <w:tcW w:w="282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20"/>
                <w:szCs w:val="20"/>
                <w:color w:val="auto"/>
              </w:rPr>
              <w:t>Operating lease assets</w:t>
            </w:r>
          </w:p>
        </w:tc>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11,305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11,939</w:t>
            </w:r>
          </w:p>
        </w:tc>
      </w:tr>
      <w:tr>
        <w:trPr>
          <w:trHeight w:val="287"/>
        </w:trPr>
        <w:tc>
          <w:tcPr>
            <w:tcW w:w="20" w:type="dxa"/>
            <w:vAlign w:val="bottom"/>
          </w:tcPr>
          <w:p>
            <w:pPr>
              <w:spacing w:after="0"/>
              <w:rPr>
                <w:sz w:val="24"/>
                <w:szCs w:val="24"/>
                <w:color w:val="auto"/>
              </w:rPr>
            </w:pPr>
          </w:p>
        </w:tc>
        <w:tc>
          <w:tcPr>
            <w:tcW w:w="2820" w:type="dxa"/>
            <w:vAlign w:val="bottom"/>
            <w:gridSpan w:val="6"/>
          </w:tcPr>
          <w:p>
            <w:pPr>
              <w:ind w:left="240"/>
              <w:spacing w:after="0"/>
              <w:rPr>
                <w:sz w:val="20"/>
                <w:szCs w:val="20"/>
                <w:color w:val="auto"/>
              </w:rPr>
            </w:pPr>
            <w:r>
              <w:rPr>
                <w:rFonts w:ascii="Times New Roman" w:cs="Times New Roman" w:eastAsia="Times New Roman" w:hAnsi="Times New Roman"/>
                <w:sz w:val="20"/>
                <w:szCs w:val="20"/>
                <w:color w:val="auto"/>
              </w:rPr>
              <w:t>Total lease assets</w:t>
            </w: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11,305</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11,939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41"/>
        </w:trPr>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820" w:type="dxa"/>
            <w:vAlign w:val="bottom"/>
            <w:gridSpan w:val="6"/>
          </w:tcPr>
          <w:p>
            <w:pPr>
              <w:jc w:val="center"/>
              <w:ind w:right="100"/>
              <w:spacing w:after="0" w:line="216" w:lineRule="exact"/>
              <w:rPr>
                <w:sz w:val="20"/>
                <w:szCs w:val="20"/>
                <w:color w:val="auto"/>
              </w:rPr>
            </w:pPr>
            <w:r>
              <w:rPr>
                <w:rFonts w:ascii="Times New Roman" w:cs="Times New Roman" w:eastAsia="Times New Roman" w:hAnsi="Times New Roman"/>
                <w:sz w:val="20"/>
                <w:szCs w:val="20"/>
                <w:b w:val="1"/>
                <w:bCs w:val="1"/>
                <w:color w:val="auto"/>
                <w:w w:val="98"/>
              </w:rPr>
              <w:t>Liabilities</w:t>
            </w: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61"/>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04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20" w:type="dxa"/>
            <w:vAlign w:val="bottom"/>
          </w:tcPr>
          <w:p>
            <w:pPr>
              <w:spacing w:after="0"/>
              <w:rPr>
                <w:sz w:val="5"/>
                <w:szCs w:val="5"/>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282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20"/>
                <w:szCs w:val="20"/>
                <w:color w:val="auto"/>
              </w:rPr>
              <w:t>Current</w:t>
            </w:r>
          </w:p>
        </w:tc>
        <w:tc>
          <w:tcPr>
            <w:tcW w:w="4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28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Operating</w:t>
            </w:r>
          </w:p>
        </w:tc>
        <w:tc>
          <w:tcPr>
            <w:tcW w:w="50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3,703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3,920</w:t>
            </w:r>
          </w:p>
        </w:tc>
      </w:tr>
      <w:tr>
        <w:trPr>
          <w:trHeight w:val="34"/>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70"/>
        </w:trPr>
        <w:tc>
          <w:tcPr>
            <w:tcW w:w="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282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Noncurrent</w:t>
            </w:r>
          </w:p>
        </w:tc>
        <w:tc>
          <w:tcPr>
            <w:tcW w:w="4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35"/>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97"/>
        </w:trPr>
        <w:tc>
          <w:tcPr>
            <w:tcW w:w="20" w:type="dxa"/>
            <w:vAlign w:val="bottom"/>
            <w:tcBorders>
              <w:bottom w:val="single" w:sz="8" w:color="CCEEFF"/>
            </w:tcBorders>
            <w:shd w:val="clear" w:color="auto" w:fill="CCEEFF"/>
          </w:tcPr>
          <w:p>
            <w:pPr>
              <w:spacing w:after="0"/>
              <w:rPr>
                <w:sz w:val="24"/>
                <w:szCs w:val="24"/>
                <w:color w:val="auto"/>
              </w:rPr>
            </w:pPr>
          </w:p>
        </w:tc>
        <w:tc>
          <w:tcPr>
            <w:tcW w:w="2820" w:type="dxa"/>
            <w:vAlign w:val="bottom"/>
            <w:tcBorders>
              <w:bottom w:val="single" w:sz="8" w:color="CCEEFF"/>
            </w:tcBorders>
            <w:gridSpan w:val="6"/>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Operating</w:t>
            </w:r>
          </w:p>
        </w:tc>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Operating lease liabilities, net of current portion</w:t>
            </w:r>
          </w:p>
        </w:tc>
        <w:tc>
          <w:tcPr>
            <w:tcW w:w="2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7,789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8,438</w:t>
            </w:r>
          </w:p>
        </w:tc>
      </w:tr>
      <w:tr>
        <w:trPr>
          <w:trHeight w:val="287"/>
        </w:trPr>
        <w:tc>
          <w:tcPr>
            <w:tcW w:w="20" w:type="dxa"/>
            <w:vAlign w:val="bottom"/>
          </w:tcPr>
          <w:p>
            <w:pPr>
              <w:spacing w:after="0"/>
              <w:rPr>
                <w:sz w:val="24"/>
                <w:szCs w:val="24"/>
                <w:color w:val="auto"/>
              </w:rPr>
            </w:pPr>
          </w:p>
        </w:tc>
        <w:tc>
          <w:tcPr>
            <w:tcW w:w="2820" w:type="dxa"/>
            <w:vAlign w:val="bottom"/>
            <w:gridSpan w:val="6"/>
          </w:tcPr>
          <w:p>
            <w:pPr>
              <w:ind w:left="240"/>
              <w:spacing w:after="0"/>
              <w:rPr>
                <w:sz w:val="20"/>
                <w:szCs w:val="20"/>
                <w:color w:val="auto"/>
              </w:rPr>
            </w:pPr>
            <w:r>
              <w:rPr>
                <w:rFonts w:ascii="Times New Roman" w:cs="Times New Roman" w:eastAsia="Times New Roman" w:hAnsi="Times New Roman"/>
                <w:sz w:val="20"/>
                <w:szCs w:val="20"/>
                <w:color w:val="auto"/>
              </w:rPr>
              <w:t>Total lease liabilities</w:t>
            </w: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11,492</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12,358</w:t>
            </w:r>
          </w:p>
        </w:tc>
      </w:tr>
      <w:tr>
        <w:trPr>
          <w:trHeight w:val="24"/>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539"/>
        </w:trPr>
        <w:tc>
          <w:tcPr>
            <w:tcW w:w="960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The following table summarizes by year the maturities of our minimum lease payments as of March 31, 2026:</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center"/>
              <w:ind w:right="486"/>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486"/>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386"/>
              <w:spacing w:after="0"/>
              <w:rPr>
                <w:sz w:val="20"/>
                <w:szCs w:val="20"/>
                <w:color w:val="auto"/>
              </w:rPr>
            </w:pPr>
            <w:r>
              <w:rPr>
                <w:rFonts w:ascii="Times New Roman" w:cs="Times New Roman" w:eastAsia="Times New Roman" w:hAnsi="Times New Roman"/>
                <w:sz w:val="18"/>
                <w:szCs w:val="18"/>
                <w:color w:val="auto"/>
              </w:rPr>
              <w:t>(In thousands)</w:t>
            </w:r>
          </w:p>
        </w:tc>
      </w:tr>
      <w:tr>
        <w:trPr>
          <w:trHeight w:val="27"/>
        </w:trPr>
        <w:tc>
          <w:tcPr>
            <w:tcW w:w="20" w:type="dxa"/>
            <w:vAlign w:val="bottom"/>
          </w:tcPr>
          <w:p>
            <w:pPr>
              <w:spacing w:after="0"/>
              <w:rPr>
                <w:sz w:val="2"/>
                <w:szCs w:val="2"/>
                <w:color w:val="auto"/>
              </w:rPr>
            </w:pPr>
          </w:p>
        </w:tc>
        <w:tc>
          <w:tcPr>
            <w:tcW w:w="2820" w:type="dxa"/>
            <w:vAlign w:val="bottom"/>
            <w:gridSpan w:val="6"/>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282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20"/>
                <w:szCs w:val="20"/>
                <w:color w:val="auto"/>
              </w:rPr>
              <w:t>Remainder of 2026</w:t>
            </w:r>
          </w:p>
        </w:tc>
        <w:tc>
          <w:tcPr>
            <w:tcW w:w="4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3,336</w:t>
            </w:r>
          </w:p>
        </w:tc>
      </w:tr>
      <w:tr>
        <w:trPr>
          <w:trHeight w:val="26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2027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3,149</w:t>
            </w:r>
          </w:p>
        </w:tc>
      </w:tr>
      <w:tr>
        <w:trPr>
          <w:trHeight w:val="35"/>
        </w:trPr>
        <w:tc>
          <w:tcPr>
            <w:tcW w:w="9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77"/>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2028</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4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1,363</w:t>
            </w:r>
          </w:p>
        </w:tc>
      </w:tr>
      <w:tr>
        <w:trPr>
          <w:trHeight w:val="26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2029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w:t>
            </w:r>
          </w:p>
        </w:tc>
      </w:tr>
      <w:tr>
        <w:trPr>
          <w:trHeight w:val="34"/>
        </w:trPr>
        <w:tc>
          <w:tcPr>
            <w:tcW w:w="9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77"/>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2030</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4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1,098</w:t>
            </w:r>
          </w:p>
        </w:tc>
      </w:tr>
      <w:tr>
        <w:trPr>
          <w:trHeight w:val="263"/>
        </w:trPr>
        <w:tc>
          <w:tcPr>
            <w:tcW w:w="20" w:type="dxa"/>
            <w:vAlign w:val="bottom"/>
          </w:tcPr>
          <w:p>
            <w:pPr>
              <w:spacing w:after="0"/>
              <w:rPr>
                <w:sz w:val="22"/>
                <w:szCs w:val="22"/>
                <w:color w:val="auto"/>
              </w:rPr>
            </w:pPr>
          </w:p>
        </w:tc>
        <w:tc>
          <w:tcPr>
            <w:tcW w:w="282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Thereafter</w:t>
            </w:r>
          </w:p>
        </w:tc>
        <w:tc>
          <w:tcPr>
            <w:tcW w:w="4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4,104</w:t>
            </w:r>
          </w:p>
        </w:tc>
      </w:tr>
      <w:tr>
        <w:trPr>
          <w:trHeight w:val="35"/>
        </w:trPr>
        <w:tc>
          <w:tcPr>
            <w:tcW w:w="20" w:type="dxa"/>
            <w:vAlign w:val="bottom"/>
            <w:tcBorders>
              <w:bottom w:val="single" w:sz="8" w:color="CCEEFF"/>
            </w:tcBorders>
          </w:tcPr>
          <w:p>
            <w:pPr>
              <w:spacing w:after="0"/>
              <w:rPr>
                <w:sz w:val="3"/>
                <w:szCs w:val="3"/>
                <w:color w:val="auto"/>
              </w:rPr>
            </w:pPr>
          </w:p>
        </w:tc>
        <w:tc>
          <w:tcPr>
            <w:tcW w:w="2820" w:type="dxa"/>
            <w:vAlign w:val="bottom"/>
            <w:tcBorders>
              <w:bottom w:val="single" w:sz="8" w:color="CCEEFF"/>
            </w:tcBorders>
            <w:gridSpan w:val="6"/>
          </w:tcPr>
          <w:p>
            <w:pPr>
              <w:spacing w:after="0"/>
              <w:rPr>
                <w:sz w:val="3"/>
                <w:szCs w:val="3"/>
                <w:color w:val="auto"/>
              </w:rPr>
            </w:pPr>
          </w:p>
        </w:tc>
        <w:tc>
          <w:tcPr>
            <w:tcW w:w="49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82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future lease payments</w:t>
            </w:r>
          </w:p>
        </w:tc>
        <w:tc>
          <w:tcPr>
            <w:tcW w:w="4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14,227</w:t>
            </w:r>
          </w:p>
        </w:tc>
      </w:tr>
      <w:tr>
        <w:trPr>
          <w:trHeight w:val="263"/>
        </w:trPr>
        <w:tc>
          <w:tcPr>
            <w:tcW w:w="20" w:type="dxa"/>
            <w:vAlign w:val="bottom"/>
          </w:tcPr>
          <w:p>
            <w:pPr>
              <w:spacing w:after="0"/>
              <w:rPr>
                <w:sz w:val="22"/>
                <w:szCs w:val="22"/>
                <w:color w:val="auto"/>
              </w:rPr>
            </w:pPr>
          </w:p>
        </w:tc>
        <w:tc>
          <w:tcPr>
            <w:tcW w:w="282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4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(2,735)</w:t>
            </w:r>
          </w:p>
        </w:tc>
      </w:tr>
      <w:tr>
        <w:trPr>
          <w:trHeight w:val="35"/>
        </w:trPr>
        <w:tc>
          <w:tcPr>
            <w:tcW w:w="20" w:type="dxa"/>
            <w:vAlign w:val="bottom"/>
            <w:tcBorders>
              <w:bottom w:val="single" w:sz="8" w:color="CCEEFF"/>
            </w:tcBorders>
          </w:tcPr>
          <w:p>
            <w:pPr>
              <w:spacing w:after="0"/>
              <w:rPr>
                <w:sz w:val="3"/>
                <w:szCs w:val="3"/>
                <w:color w:val="auto"/>
              </w:rPr>
            </w:pPr>
          </w:p>
        </w:tc>
        <w:tc>
          <w:tcPr>
            <w:tcW w:w="2820" w:type="dxa"/>
            <w:vAlign w:val="bottom"/>
            <w:tcBorders>
              <w:bottom w:val="single" w:sz="8" w:color="CCEEFF"/>
            </w:tcBorders>
            <w:gridSpan w:val="6"/>
          </w:tcPr>
          <w:p>
            <w:pPr>
              <w:spacing w:after="0"/>
              <w:rPr>
                <w:sz w:val="3"/>
                <w:szCs w:val="3"/>
                <w:color w:val="auto"/>
              </w:rPr>
            </w:pPr>
          </w:p>
        </w:tc>
        <w:tc>
          <w:tcPr>
            <w:tcW w:w="49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307"/>
        </w:trPr>
        <w:tc>
          <w:tcPr>
            <w:tcW w:w="20" w:type="dxa"/>
            <w:vAlign w:val="bottom"/>
            <w:shd w:val="clear" w:color="auto" w:fill="CCEEFF"/>
          </w:tcPr>
          <w:p>
            <w:pPr>
              <w:spacing w:after="0"/>
              <w:rPr>
                <w:sz w:val="24"/>
                <w:szCs w:val="24"/>
                <w:color w:val="auto"/>
              </w:rPr>
            </w:pPr>
          </w:p>
        </w:tc>
        <w:tc>
          <w:tcPr>
            <w:tcW w:w="28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w:t>
            </w:r>
          </w:p>
        </w:tc>
        <w:tc>
          <w:tcPr>
            <w:tcW w:w="4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Accrued Expenses and Other Liabilities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expenses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18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400" w:type="dxa"/>
            <w:vAlign w:val="bottom"/>
          </w:tcPr>
          <w:p>
            <w:pPr>
              <w:jc w:val="right"/>
              <w:ind w:right="56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9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gridSpan w:val="4"/>
          </w:tcPr>
          <w:p>
            <w:pPr>
              <w:spacing w:after="0"/>
              <w:rPr>
                <w:sz w:val="3"/>
                <w:szCs w:val="3"/>
                <w:color w:val="auto"/>
              </w:rPr>
            </w:pPr>
          </w:p>
        </w:tc>
      </w:tr>
      <w:tr>
        <w:trPr>
          <w:trHeight w:val="237"/>
        </w:trPr>
        <w:tc>
          <w:tcPr>
            <w:tcW w:w="7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1047"/>
              <w:spacing w:after="0"/>
              <w:rPr>
                <w:sz w:val="20"/>
                <w:szCs w:val="20"/>
                <w:color w:val="auto"/>
              </w:rPr>
            </w:pPr>
            <w:r>
              <w:rPr>
                <w:rFonts w:ascii="Times New Roman" w:cs="Times New Roman" w:eastAsia="Times New Roman" w:hAnsi="Times New Roman"/>
                <w:sz w:val="18"/>
                <w:szCs w:val="18"/>
                <w:color w:val="auto"/>
              </w:rPr>
              <w:t>(In thousands)</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Accrued compensation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20,942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36,975</w:t>
            </w: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Legal and professional accruals</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5,608</w:t>
            </w:r>
          </w:p>
        </w:tc>
      </w:tr>
      <w:tr>
        <w:trPr>
          <w:trHeight w:val="34"/>
        </w:trPr>
        <w:tc>
          <w:tcPr>
            <w:tcW w:w="7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7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payable</w:t>
            </w:r>
          </w:p>
        </w:tc>
        <w:tc>
          <w:tcPr>
            <w:tcW w:w="1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Income taxes payable</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1,429</w:t>
            </w:r>
          </w:p>
        </w:tc>
      </w:tr>
      <w:tr>
        <w:trPr>
          <w:trHeight w:val="34"/>
        </w:trPr>
        <w:tc>
          <w:tcPr>
            <w:tcW w:w="7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7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Short-term contingent consideration liabilities</w:t>
            </w:r>
          </w:p>
        </w:tc>
        <w:tc>
          <w:tcPr>
            <w:tcW w:w="1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26,208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21,979</w:t>
            </w: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1,086</w:t>
            </w:r>
          </w:p>
        </w:tc>
      </w:tr>
      <w:tr>
        <w:trPr>
          <w:trHeight w:val="35"/>
        </w:trPr>
        <w:tc>
          <w:tcPr>
            <w:tcW w:w="79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31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accrued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57,286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67,131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long-term liabilities consist of the following: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4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9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gridSpan w:val="4"/>
          </w:tcPr>
          <w:p>
            <w:pPr>
              <w:spacing w:after="0"/>
              <w:rPr>
                <w:sz w:val="3"/>
                <w:szCs w:val="3"/>
                <w:color w:val="auto"/>
              </w:rPr>
            </w:pPr>
          </w:p>
        </w:tc>
      </w:tr>
      <w:tr>
        <w:trPr>
          <w:trHeight w:val="237"/>
        </w:trPr>
        <w:tc>
          <w:tcPr>
            <w:tcW w:w="7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1052"/>
              <w:spacing w:after="0"/>
              <w:rPr>
                <w:sz w:val="20"/>
                <w:szCs w:val="20"/>
                <w:color w:val="auto"/>
              </w:rPr>
            </w:pPr>
            <w:r>
              <w:rPr>
                <w:rFonts w:ascii="Times New Roman" w:cs="Times New Roman" w:eastAsia="Times New Roman" w:hAnsi="Times New Roman"/>
                <w:sz w:val="18"/>
                <w:szCs w:val="18"/>
                <w:color w:val="auto"/>
              </w:rPr>
              <w:t>(In thousands)</w:t>
            </w:r>
          </w:p>
        </w:tc>
      </w:tr>
      <w:tr>
        <w:trPr>
          <w:trHeight w:val="27"/>
        </w:trPr>
        <w:tc>
          <w:tcPr>
            <w:tcW w:w="7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Uncertain tax position 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3,328</w:t>
            </w: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Derivative Liabilities - Long-term</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1,789</w:t>
            </w:r>
          </w:p>
        </w:tc>
      </w:tr>
      <w:tr>
        <w:trPr>
          <w:trHeight w:val="35"/>
        </w:trPr>
        <w:tc>
          <w:tcPr>
            <w:tcW w:w="79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31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other long-term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4,062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5,117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Equity-Based Compensation</w:t>
      </w:r>
    </w:p>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Company’s equity-based compensation programs are intended to attract, retain and provide incentives for employees, officers, and directors. The Company has the following stock-based compensation plans and programs.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w:t>
      </w:r>
    </w:p>
    <w:p>
      <w:pPr>
        <w:spacing w:after="0" w:line="23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majority of the Company’s restricted stock awarded to its employees was originally issued on December 10, 2020 in exchange for the Class B Profits Interest Unit (the “Class B Units”) of EQT Avatar Parent LP, which was the former parent of the Company.</w:t>
      </w:r>
    </w:p>
    <w:p>
      <w:pPr>
        <w:spacing w:after="0" w:line="14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Share-based compensation for the restricted stock exchanged for the time-based Class B Units is recognized on a straight-line basis over the requisite service period of the award, which is generally five years. Share-based compensation for the restricted stock exchanged for the performance-based Class B Units is recognized using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accelerated attribution approach. As of September 30, 2025, all of the Company’s restricted stock had fully vested, and no restricted stock remained outstanding.</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Equity-based compensation expenses related to the restricted stock exchanged for performance-based Class B Units were $66 for the three months ended March 31, 2025. As of September 30, 2025, all compensation expense related to the awards had been fully recognized.</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Equity-based compensation expenses related to the restricted stock exchanged for time-based Class B Units were $124 for the three months ended March 31, 2025. As of September 30, 2025, all compensation expense related to the awards had been fully recognized.</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order to align the Company’s equity compensation program with public company practices, the Company’s Board of Directors adopted and stockholders approved the 2020 Incentive Plan. The 2020 Incentive Plan allows for grants of non-qualified stock options, incentive stock options, restricted stock, restricted stock units (“RSUs”), and performance stock units (“PSUs”) to employees, directors, officers, and consultants or advisors of the Company. The 2020 Incentive Plan allows for 20,000,000 shares (the “plan share reserve”) of common stock to be issued. No more than the number of shares of common stock equal to the plan share reserve may be issued in aggregate pursuant to the exercise of incentive stock options. The maximum number of shares of common stock granted during a single fiscal year to any non-employee director, taken together with any cash fees paid to such non-employee director during the fiscal year, may not exceed $1,000,000 in total value, except for certain awards made to a non-executive chair of our Board of Directors.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 ("RSUs")</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RSUs represent the right to receive shares of the Company’s common stock at a specified date in the future. The fair value of the RSUs is based on the fair value of the underlying shares on the date of grant.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Company’s RSU activity is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7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AVERAGE</w:t>
            </w:r>
          </w:p>
        </w:tc>
      </w:tr>
      <w:tr>
        <w:trPr>
          <w:trHeight w:val="162"/>
        </w:trPr>
        <w:tc>
          <w:tcPr>
            <w:tcW w:w="7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0"/>
        </w:trPr>
        <w:tc>
          <w:tcPr>
            <w:tcW w:w="7940" w:type="dxa"/>
            <w:vAlign w:val="bottom"/>
          </w:tcPr>
          <w:p>
            <w:pPr>
              <w:spacing w:after="0"/>
              <w:rPr>
                <w:sz w:val="16"/>
                <w:szCs w:val="16"/>
                <w:color w:val="auto"/>
              </w:rPr>
            </w:pPr>
          </w:p>
        </w:tc>
        <w:tc>
          <w:tcPr>
            <w:tcW w:w="17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6"/>
                <w:szCs w:val="16"/>
                <w:color w:val="auto"/>
              </w:rPr>
            </w:pPr>
          </w:p>
        </w:tc>
        <w:tc>
          <w:tcPr>
            <w:tcW w:w="13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37"/>
        </w:trPr>
        <w:tc>
          <w:tcPr>
            <w:tcW w:w="794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Non-vested RSUs as of December 31, 2025</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3,358,181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14.48</w:t>
            </w:r>
          </w:p>
        </w:tc>
      </w:tr>
      <w:tr>
        <w:trPr>
          <w:trHeight w:val="263"/>
        </w:trPr>
        <w:tc>
          <w:tcPr>
            <w:tcW w:w="79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w:t>
            </w:r>
          </w:p>
        </w:tc>
      </w:tr>
      <w:tr>
        <w:trPr>
          <w:trHeight w:val="35"/>
        </w:trPr>
        <w:tc>
          <w:tcPr>
            <w:tcW w:w="79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77"/>
        </w:trPr>
        <w:tc>
          <w:tcPr>
            <w:tcW w:w="7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Vested</w:t>
            </w:r>
          </w:p>
        </w:tc>
        <w:tc>
          <w:tcPr>
            <w:tcW w:w="1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3"/>
        </w:trPr>
        <w:tc>
          <w:tcPr>
            <w:tcW w:w="79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w:t>
            </w:r>
          </w:p>
        </w:tc>
      </w:tr>
      <w:tr>
        <w:trPr>
          <w:trHeight w:val="35"/>
        </w:trPr>
        <w:tc>
          <w:tcPr>
            <w:tcW w:w="794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31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Non-vested RSUs as of March 31, 2026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3,260,359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14.49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Equity-based compensation expenses related to the RSUs were $6,287 and $6,733 for the three months ended March 31, 2026 and 2025, respectively. At March 31, 2026, the total unrecognized equity-based compensation expense related to outstanding RSUs was $22,655, which is expected to be recognized over a weighted-average period of 19.4 months.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Stock Units ("PSUs")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PSUs are issued under the 2020 Incentive Plan and represent the right to receive shares of the Company’s common stock at a specified date in the future based on the satisfaction of various service conditions and the achievement of certain performance thresholds, including year over year revenue growth, unlevered free cash</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flow growth, annual revenue, and annual EBITDA. The PSUs granted in 2023, 2024, and 2025 also contain market conditions.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Share-based compensation for the PSUs is only recognized to the extent a threshold is probable of being achieved and is recognized using the accelerated attribution approach. The Company will continue to assess the probability of each condition being achieved at each reporting period to determine whether and when to recognize compensation costs.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Company’s PSU activity for the period ended March 31, 2026 is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AVERAGE</w:t>
            </w:r>
          </w:p>
        </w:tc>
        <w:tc>
          <w:tcPr>
            <w:tcW w:w="0" w:type="dxa"/>
            <w:vAlign w:val="bottom"/>
          </w:tcPr>
          <w:p>
            <w:pPr>
              <w:spacing w:after="0"/>
              <w:rPr>
                <w:sz w:val="1"/>
                <w:szCs w:val="1"/>
                <w:color w:val="auto"/>
              </w:rPr>
            </w:pPr>
          </w:p>
        </w:tc>
      </w:tr>
      <w:tr>
        <w:trPr>
          <w:trHeight w:val="162"/>
        </w:trPr>
        <w:tc>
          <w:tcPr>
            <w:tcW w:w="7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17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6"/>
                <w:szCs w:val="16"/>
                <w:color w:val="auto"/>
              </w:rPr>
            </w:pPr>
          </w:p>
        </w:tc>
        <w:tc>
          <w:tcPr>
            <w:tcW w:w="138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Non-vested PSUs as of December 31, 2025</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1,194,188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13.05</w:t>
            </w:r>
          </w:p>
        </w:tc>
        <w:tc>
          <w:tcPr>
            <w:tcW w:w="0" w:type="dxa"/>
            <w:vAlign w:val="bottom"/>
          </w:tcPr>
          <w:p>
            <w:pPr>
              <w:spacing w:after="0"/>
              <w:rPr>
                <w:sz w:val="1"/>
                <w:szCs w:val="1"/>
                <w:color w:val="auto"/>
              </w:rPr>
            </w:pPr>
          </w:p>
        </w:tc>
      </w:tr>
      <w:tr>
        <w:trPr>
          <w:trHeight w:val="263"/>
        </w:trPr>
        <w:tc>
          <w:tcPr>
            <w:tcW w:w="79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Granted</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4"/>
        </w:trPr>
        <w:tc>
          <w:tcPr>
            <w:tcW w:w="79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7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Vested</w:t>
            </w:r>
          </w:p>
        </w:tc>
        <w:tc>
          <w:tcPr>
            <w:tcW w:w="1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79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w:t>
            </w:r>
          </w:p>
        </w:tc>
        <w:tc>
          <w:tcPr>
            <w:tcW w:w="0" w:type="dxa"/>
            <w:vAlign w:val="bottom"/>
          </w:tcPr>
          <w:p>
            <w:pPr>
              <w:spacing w:after="0"/>
              <w:rPr>
                <w:sz w:val="1"/>
                <w:szCs w:val="1"/>
                <w:color w:val="auto"/>
              </w:rPr>
            </w:pPr>
          </w:p>
        </w:tc>
      </w:tr>
      <w:tr>
        <w:trPr>
          <w:trHeight w:val="35"/>
        </w:trPr>
        <w:tc>
          <w:tcPr>
            <w:tcW w:w="79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7"/>
        </w:trPr>
        <w:tc>
          <w:tcPr>
            <w:tcW w:w="7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Cancelled*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(200,263)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25.26</w:t>
            </w:r>
          </w:p>
        </w:tc>
        <w:tc>
          <w:tcPr>
            <w:tcW w:w="0" w:type="dxa"/>
            <w:vAlign w:val="bottom"/>
          </w:tcPr>
          <w:p>
            <w:pPr>
              <w:spacing w:after="0"/>
              <w:rPr>
                <w:sz w:val="1"/>
                <w:szCs w:val="1"/>
                <w:color w:val="auto"/>
              </w:rPr>
            </w:pPr>
          </w:p>
        </w:tc>
      </w:tr>
      <w:tr>
        <w:trPr>
          <w:trHeight w:val="284"/>
        </w:trPr>
        <w:tc>
          <w:tcPr>
            <w:tcW w:w="7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Non-vested PSUs as of March 31, 2026</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980,906</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10.62</w:t>
            </w:r>
          </w:p>
        </w:tc>
        <w:tc>
          <w:tcPr>
            <w:tcW w:w="0" w:type="dxa"/>
            <w:vAlign w:val="bottom"/>
          </w:tcPr>
          <w:p>
            <w:pPr>
              <w:spacing w:after="0"/>
              <w:rPr>
                <w:sz w:val="1"/>
                <w:szCs w:val="1"/>
                <w:color w:val="auto"/>
              </w:rPr>
            </w:pPr>
          </w:p>
        </w:tc>
      </w:tr>
      <w:tr>
        <w:trPr>
          <w:trHeight w:val="27"/>
        </w:trPr>
        <w:tc>
          <w:tcPr>
            <w:tcW w:w="7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__________________________________</w:t>
            </w: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6"/>
        </w:trPr>
        <w:tc>
          <w:tcPr>
            <w:tcW w:w="79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line="243"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three months of 2026, the Company cancelled 200,263 PSU shares that did not meet the required performance and market conditions for vesting.</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Equity-based compensation expenses (income) related to the PSUs were $1,033 and $148 for the three months ended March 31, 2026 and 2025, respectively. At March 31, 2026, the total unrecognized equity-based compensation expense related to outstanding PSUs was $2,594, which is expected to be recognized over a weighted-average period of 17.82 months.</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components of total equity-based compensation expense included in the condensed consolidated statements of operations and comprehensive income (loss) for each period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334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r>
      <w:tr>
        <w:trPr>
          <w:trHeight w:val="37"/>
        </w:trPr>
        <w:tc>
          <w:tcPr>
            <w:tcW w:w="72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86"/>
        </w:trPr>
        <w:tc>
          <w:tcPr>
            <w:tcW w:w="7280" w:type="dxa"/>
            <w:vAlign w:val="bottom"/>
          </w:tcPr>
          <w:p>
            <w:pPr>
              <w:spacing w:after="0"/>
              <w:rPr>
                <w:sz w:val="16"/>
                <w:szCs w:val="16"/>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r>
      <w:tr>
        <w:trPr>
          <w:trHeight w:val="37"/>
        </w:trPr>
        <w:tc>
          <w:tcPr>
            <w:tcW w:w="72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41"/>
        </w:trPr>
        <w:tc>
          <w:tcPr>
            <w:tcW w:w="7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10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20" w:type="dxa"/>
            <w:vAlign w:val="bottom"/>
          </w:tcPr>
          <w:p>
            <w:pPr>
              <w:spacing w:after="0"/>
              <w:rPr>
                <w:sz w:val="20"/>
                <w:szCs w:val="20"/>
                <w:color w:val="auto"/>
              </w:rPr>
            </w:pPr>
          </w:p>
        </w:tc>
      </w:tr>
      <w:tr>
        <w:trPr>
          <w:trHeight w:val="27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Cost of revenues</w:t>
            </w:r>
          </w:p>
        </w:tc>
        <w:tc>
          <w:tcPr>
            <w:tcW w:w="1240" w:type="dxa"/>
            <w:vAlign w:val="bottom"/>
            <w:tcBorders>
              <w:bottom w:val="single" w:sz="8" w:color="CCEEFF"/>
            </w:tcBorders>
            <w:shd w:val="clear" w:color="auto" w:fill="CCEEFF"/>
          </w:tcPr>
          <w:p>
            <w:pPr>
              <w:jc w:val="right"/>
              <w:ind w:right="1035"/>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2,998</w:t>
            </w:r>
          </w:p>
        </w:tc>
        <w:tc>
          <w:tcPr>
            <w:tcW w:w="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Times New Roman" w:cs="Times New Roman" w:eastAsia="Times New Roman" w:hAnsi="Times New Roman"/>
                <w:sz w:val="20"/>
                <w:szCs w:val="20"/>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3,134</w:t>
            </w:r>
          </w:p>
        </w:tc>
      </w:tr>
      <w:tr>
        <w:trPr>
          <w:trHeight w:val="263"/>
        </w:trPr>
        <w:tc>
          <w:tcPr>
            <w:tcW w:w="7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Sales and marketing</w:t>
            </w:r>
          </w:p>
        </w:tc>
        <w:tc>
          <w:tcPr>
            <w:tcW w:w="1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w:t>
            </w: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w:t>
            </w:r>
          </w:p>
        </w:tc>
      </w:tr>
      <w:tr>
        <w:trPr>
          <w:trHeight w:val="21"/>
        </w:trPr>
        <w:tc>
          <w:tcPr>
            <w:tcW w:w="7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1,059</w:t>
            </w: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933</w:t>
            </w:r>
          </w:p>
        </w:tc>
      </w:tr>
      <w:tr>
        <w:trPr>
          <w:trHeight w:val="263"/>
        </w:trPr>
        <w:tc>
          <w:tcPr>
            <w:tcW w:w="7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2,271</w:t>
            </w: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2,169</w:t>
            </w:r>
          </w:p>
        </w:tc>
      </w:tr>
      <w:tr>
        <w:trPr>
          <w:trHeight w:val="21"/>
        </w:trPr>
        <w:tc>
          <w:tcPr>
            <w:tcW w:w="72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302"/>
        </w:trPr>
        <w:tc>
          <w:tcPr>
            <w:tcW w:w="7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Total</w:t>
            </w:r>
          </w:p>
        </w:tc>
        <w:tc>
          <w:tcPr>
            <w:tcW w:w="1240" w:type="dxa"/>
            <w:vAlign w:val="bottom"/>
            <w:tcBorders>
              <w:bottom w:val="single" w:sz="8" w:color="auto"/>
            </w:tcBorders>
            <w:shd w:val="clear" w:color="auto" w:fill="CCEEFF"/>
          </w:tcPr>
          <w:p>
            <w:pPr>
              <w:jc w:val="right"/>
              <w:ind w:right="1035"/>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7,320</w:t>
            </w:r>
          </w:p>
        </w:tc>
        <w:tc>
          <w:tcPr>
            <w:tcW w:w="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20"/>
                <w:szCs w:val="20"/>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7,070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Contingent consideration</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certain of the Company's business acquisitions, the Company is required to pay additional consideration if the acquired businesses achieve certain eligible revenue thresholds for certain periods. Furthermore, the Company agreed to pay additional contingent consideration related to a business acquisition, contingent on the resolution of certain tax-related contingencies. For the three months ended March 31, 2026,</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8" w:name="page29"/>
    <w:bookmarkEnd w:id="28"/>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paid cash contingent consideration of $3,000. The total contingent liabilities were $26,208 and $21,979 at March 31, 2026 and December 31, 2025, respectively. The contingent liabilities are included in accrued expenses and other long-term liabilities in the Company's condensed consolidated balance sheet.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Legal proceedings</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 does not have any pending or threatened litigation which, individually or in the aggregate, would have a material adverse effect on its condensed consolidated financial statements as of March 31,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Assurance-type warranty</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includes an assurance commitment warranting that the application software products will perform in accordance with written user documentation and the agreements negotiated with customers. Since the Company does not customize its application software, warranty costs have historically been insignificant and expensed as incurred.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information related to commitments for future minimum lease payments, please see Note 6. </w:t>
      </w:r>
      <w:r>
        <w:rPr>
          <w:rFonts w:ascii="Times New Roman" w:cs="Times New Roman" w:eastAsia="Times New Roman" w:hAnsi="Times New Roman"/>
          <w:sz w:val="20"/>
          <w:szCs w:val="20"/>
          <w:u w:val="single" w:color="auto"/>
          <w:color w:val="0000FF"/>
        </w:rPr>
        <w:t>"Leases"</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Segment Data</w:t>
      </w:r>
    </w:p>
    <w:p>
      <w:pPr>
        <w:spacing w:after="0" w:line="22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Operating segments are defined as components of an enterprise about which separate financial information is available that is evaluated regularly by the chief operating decision maker (“CODM”) in deciding how to allocate resources and in assessing performance.</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has determined that its chief executive officer (“CEO”) is its CODM. The Company manages its operations as a single segment for the purpose of assessing and making operating decisions. The Company’s CODM allocates resources and assesses performance based upon financial information at the consolidated level. The accounting policies of the Company's single segment are the same as those described in the summary of significant accounting policies. The inter-companies balances and transactions are eliminated.</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the Company operates and reports in a single reportable segment, the Company's CODM assesses performance for the segment and decides how to allocate resources based on net income that also is reported on the income statement as consolidated net income. The measure of segment assets is reported on the balance sheet as total consolidated assets.</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CODM uses net income and other performance indicators to evaluate income generated from segment assets (return on assets) in deciding whether to reinvest profits into the segment or into other parts of the entity, such as for acquisitions. Net income is also used to monitor budget versus actual results.</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manages the business activities on a consolidated basis. The Company's operating segment provides technology-enabled services and software products to its customers. The Company’s revenue consists of fees for its software products and services. The revenue is primarily generated from Americas. See item (i) - Revenue recognition under Note 2. “Summary of Significant Accounting Policies", for a description of the Company’s revenue categories.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revenue by geographic area for the three months ended March 31, 2026 and 2025:</w:t>
      </w:r>
    </w:p>
    <w:p>
      <w:pPr>
        <w:spacing w:after="0" w:line="281"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39370</wp:posOffset>
            </wp:positionV>
            <wp:extent cx="25203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tcPr>
          <w:p>
            <w:pPr>
              <w:jc w:val="right"/>
              <w:ind w:right="72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28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13"/>
        </w:trPr>
        <w:tc>
          <w:tcPr>
            <w:tcW w:w="7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(In thousands)</w:t>
            </w:r>
          </w:p>
        </w:tc>
        <w:tc>
          <w:tcPr>
            <w:tcW w:w="1340" w:type="dxa"/>
            <w:vAlign w:val="bottom"/>
          </w:tcPr>
          <w:p>
            <w:pPr>
              <w:spacing w:after="0"/>
              <w:rPr>
                <w:sz w:val="18"/>
                <w:szCs w:val="18"/>
                <w:color w:val="auto"/>
              </w:rPr>
            </w:pPr>
          </w:p>
        </w:tc>
      </w:tr>
      <w:tr>
        <w:trPr>
          <w:trHeight w:val="287"/>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Revenue(1):</w:t>
            </w:r>
          </w:p>
        </w:tc>
        <w:tc>
          <w:tcPr>
            <w:tcW w:w="1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r>
      <w:tr>
        <w:trPr>
          <w:trHeight w:val="262"/>
        </w:trPr>
        <w:tc>
          <w:tcPr>
            <w:tcW w:w="7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Americas</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70,254</w:t>
            </w:r>
          </w:p>
        </w:tc>
        <w:tc>
          <w:tcPr>
            <w:tcW w:w="100" w:type="dxa"/>
            <w:vAlign w:val="bottom"/>
          </w:tcPr>
          <w:p>
            <w:pPr>
              <w:spacing w:after="0"/>
              <w:rPr>
                <w:sz w:val="22"/>
                <w:szCs w:val="22"/>
                <w:color w:val="auto"/>
              </w:rPr>
            </w:pPr>
          </w:p>
        </w:tc>
        <w:tc>
          <w:tcPr>
            <w:tcW w:w="60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71,953</w:t>
            </w:r>
          </w:p>
        </w:tc>
      </w:tr>
      <w:tr>
        <w:trPr>
          <w:trHeight w:val="35"/>
        </w:trPr>
        <w:tc>
          <w:tcPr>
            <w:tcW w:w="7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77"/>
        </w:trPr>
        <w:tc>
          <w:tcPr>
            <w:tcW w:w="7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EMEA</w:t>
            </w:r>
          </w:p>
        </w:tc>
        <w:tc>
          <w:tcPr>
            <w:tcW w:w="1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28,123</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25,790</w:t>
            </w:r>
          </w:p>
        </w:tc>
      </w:tr>
      <w:tr>
        <w:trPr>
          <w:trHeight w:val="263"/>
        </w:trPr>
        <w:tc>
          <w:tcPr>
            <w:tcW w:w="7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Asia Pacific</w:t>
            </w:r>
          </w:p>
        </w:tc>
        <w:tc>
          <w:tcPr>
            <w:tcW w:w="1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8,538</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8,261</w:t>
            </w:r>
          </w:p>
        </w:tc>
      </w:tr>
      <w:tr>
        <w:trPr>
          <w:trHeight w:val="35"/>
        </w:trPr>
        <w:tc>
          <w:tcPr>
            <w:tcW w:w="72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332"/>
        </w:trPr>
        <w:tc>
          <w:tcPr>
            <w:tcW w:w="7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Total</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106,915</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106,004</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1340" w:type="dxa"/>
            <w:vAlign w:val="bottom"/>
            <w:tcBorders>
              <w:top w:val="single" w:sz="8" w:color="CCEEFF"/>
            </w:tcBorders>
            <w:shd w:val="clear" w:color="auto" w:fill="000000"/>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w:t>
      </w:r>
    </w:p>
    <w:p>
      <w:pPr>
        <w:spacing w:after="0" w:line="1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Revenue is attributable to the countries based on the location of the customer.</w:t>
      </w:r>
    </w:p>
    <w:p>
      <w:pPr>
        <w:spacing w:after="0" w:line="3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The following table presents information about reported segment revenue, segment profit or loss, and significant segment expenses.</w:t>
      </w:r>
    </w:p>
    <w:p>
      <w:pPr>
        <w:spacing w:after="0" w:line="52"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33020</wp:posOffset>
            </wp:positionV>
            <wp:extent cx="25114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ind w:right="72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0" w:type="dxa"/>
            <w:vAlign w:val="bottom"/>
          </w:tcPr>
          <w:p>
            <w:pPr>
              <w:spacing w:after="0"/>
              <w:rPr>
                <w:sz w:val="3"/>
                <w:szCs w:val="3"/>
                <w:color w:val="auto"/>
              </w:rPr>
            </w:pPr>
          </w:p>
        </w:tc>
        <w:tc>
          <w:tcPr>
            <w:tcW w:w="3220" w:type="dxa"/>
            <w:vAlign w:val="bottom"/>
            <w:tcBorders>
              <w:bottom w:val="single" w:sz="8" w:color="CCEEFF"/>
            </w:tcBorders>
          </w:tcPr>
          <w:p>
            <w:pPr>
              <w:spacing w:after="0"/>
              <w:rPr>
                <w:sz w:val="3"/>
                <w:szCs w:val="3"/>
                <w:color w:val="auto"/>
              </w:rPr>
            </w:pPr>
          </w:p>
        </w:tc>
        <w:tc>
          <w:tcPr>
            <w:tcW w:w="38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8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(In thousands)</w:t>
            </w:r>
          </w:p>
        </w:tc>
        <w:tc>
          <w:tcPr>
            <w:tcW w:w="1280" w:type="dxa"/>
            <w:vAlign w:val="bottom"/>
            <w:tcBorders>
              <w:bottom w:val="single" w:sz="8" w:color="CCEEFF"/>
            </w:tcBorders>
            <w:shd w:val="clear" w:color="auto" w:fill="CCEEFF"/>
          </w:tcPr>
          <w:p>
            <w:pPr>
              <w:spacing w:after="0"/>
              <w:rPr>
                <w:sz w:val="21"/>
                <w:szCs w:val="21"/>
                <w:color w:val="auto"/>
              </w:rPr>
            </w:pPr>
          </w:p>
        </w:tc>
      </w:tr>
      <w:tr>
        <w:trPr>
          <w:trHeight w:val="263"/>
        </w:trPr>
        <w:tc>
          <w:tcPr>
            <w:tcW w:w="80" w:type="dxa"/>
            <w:vAlign w:val="bottom"/>
          </w:tcPr>
          <w:p>
            <w:pPr>
              <w:spacing w:after="0"/>
              <w:rPr>
                <w:sz w:val="22"/>
                <w:szCs w:val="22"/>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Revenues</w:t>
            </w:r>
          </w:p>
        </w:tc>
        <w:tc>
          <w:tcPr>
            <w:tcW w:w="1160" w:type="dxa"/>
            <w:vAlign w:val="bottom"/>
          </w:tcPr>
          <w:p>
            <w:pPr>
              <w:jc w:val="right"/>
              <w:ind w:right="948"/>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106,915</w:t>
            </w:r>
          </w:p>
        </w:tc>
        <w:tc>
          <w:tcPr>
            <w:tcW w:w="100" w:type="dxa"/>
            <w:vAlign w:val="bottom"/>
          </w:tcPr>
          <w:p>
            <w:pPr>
              <w:spacing w:after="0"/>
              <w:rPr>
                <w:sz w:val="22"/>
                <w:szCs w:val="22"/>
                <w:color w:val="auto"/>
              </w:rPr>
            </w:pPr>
          </w:p>
        </w:tc>
        <w:tc>
          <w:tcPr>
            <w:tcW w:w="66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106,004</w:t>
            </w:r>
          </w:p>
        </w:tc>
      </w:tr>
      <w:tr>
        <w:trPr>
          <w:trHeight w:val="34"/>
        </w:trPr>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c>
          <w:tcPr>
            <w:tcW w:w="3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77"/>
        </w:trPr>
        <w:tc>
          <w:tcPr>
            <w:tcW w:w="80" w:type="dxa"/>
            <w:vAlign w:val="bottom"/>
          </w:tcPr>
          <w:p>
            <w:pPr>
              <w:spacing w:after="0"/>
              <w:rPr>
                <w:sz w:val="24"/>
                <w:szCs w:val="24"/>
                <w:color w:val="auto"/>
              </w:rPr>
            </w:pP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Less:</w:t>
            </w:r>
          </w:p>
        </w:tc>
        <w:tc>
          <w:tcPr>
            <w:tcW w:w="1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r>
      <w:tr>
        <w:trPr>
          <w:trHeight w:val="263"/>
        </w:trPr>
        <w:tc>
          <w:tcPr>
            <w:tcW w:w="80" w:type="dxa"/>
            <w:vAlign w:val="bottom"/>
          </w:tcPr>
          <w:p>
            <w:pPr>
              <w:spacing w:after="0"/>
              <w:rPr>
                <w:sz w:val="22"/>
                <w:szCs w:val="22"/>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Employee expense-non equity</w:t>
            </w:r>
          </w:p>
        </w:tc>
        <w:tc>
          <w:tcPr>
            <w:tcW w:w="1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61,964</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59,565</w:t>
            </w:r>
          </w:p>
        </w:tc>
      </w:tr>
      <w:tr>
        <w:trPr>
          <w:trHeight w:val="35"/>
        </w:trPr>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c>
          <w:tcPr>
            <w:tcW w:w="3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77"/>
        </w:trPr>
        <w:tc>
          <w:tcPr>
            <w:tcW w:w="80" w:type="dxa"/>
            <w:vAlign w:val="bottom"/>
          </w:tcPr>
          <w:p>
            <w:pPr>
              <w:spacing w:after="0"/>
              <w:rPr>
                <w:sz w:val="24"/>
                <w:szCs w:val="24"/>
                <w:color w:val="auto"/>
              </w:rPr>
            </w:pP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Equity-based compensation expense</w:t>
            </w:r>
          </w:p>
        </w:tc>
        <w:tc>
          <w:tcPr>
            <w:tcW w:w="1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7,320</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7,070</w:t>
            </w:r>
          </w:p>
        </w:tc>
      </w:tr>
      <w:tr>
        <w:trPr>
          <w:trHeight w:val="263"/>
        </w:trPr>
        <w:tc>
          <w:tcPr>
            <w:tcW w:w="80" w:type="dxa"/>
            <w:vAlign w:val="bottom"/>
          </w:tcPr>
          <w:p>
            <w:pPr>
              <w:spacing w:after="0"/>
              <w:rPr>
                <w:sz w:val="22"/>
                <w:szCs w:val="22"/>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Equipment and software expense</w:t>
            </w:r>
          </w:p>
        </w:tc>
        <w:tc>
          <w:tcPr>
            <w:tcW w:w="1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4,926</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3,820</w:t>
            </w:r>
          </w:p>
        </w:tc>
      </w:tr>
      <w:tr>
        <w:trPr>
          <w:trHeight w:val="34"/>
        </w:trPr>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c>
          <w:tcPr>
            <w:tcW w:w="3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77"/>
        </w:trPr>
        <w:tc>
          <w:tcPr>
            <w:tcW w:w="80" w:type="dxa"/>
            <w:vAlign w:val="bottom"/>
          </w:tcPr>
          <w:p>
            <w:pPr>
              <w:spacing w:after="0"/>
              <w:rPr>
                <w:sz w:val="24"/>
                <w:szCs w:val="24"/>
                <w:color w:val="auto"/>
              </w:rPr>
            </w:pP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Direct cost of revenues</w:t>
            </w:r>
          </w:p>
        </w:tc>
        <w:tc>
          <w:tcPr>
            <w:tcW w:w="1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1,924</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1,717</w:t>
            </w:r>
          </w:p>
        </w:tc>
      </w:tr>
      <w:tr>
        <w:trPr>
          <w:trHeight w:val="263"/>
        </w:trPr>
        <w:tc>
          <w:tcPr>
            <w:tcW w:w="80" w:type="dxa"/>
            <w:vAlign w:val="bottom"/>
          </w:tcPr>
          <w:p>
            <w:pPr>
              <w:spacing w:after="0"/>
              <w:rPr>
                <w:sz w:val="22"/>
                <w:szCs w:val="22"/>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Professional services expense</w:t>
            </w:r>
          </w:p>
        </w:tc>
        <w:tc>
          <w:tcPr>
            <w:tcW w:w="1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7,905</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7,303</w:t>
            </w:r>
          </w:p>
        </w:tc>
      </w:tr>
      <w:tr>
        <w:trPr>
          <w:trHeight w:val="35"/>
        </w:trPr>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c>
          <w:tcPr>
            <w:tcW w:w="3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77"/>
        </w:trPr>
        <w:tc>
          <w:tcPr>
            <w:tcW w:w="80" w:type="dxa"/>
            <w:vAlign w:val="bottom"/>
          </w:tcPr>
          <w:p>
            <w:pPr>
              <w:spacing w:after="0"/>
              <w:rPr>
                <w:sz w:val="24"/>
                <w:szCs w:val="24"/>
                <w:color w:val="auto"/>
              </w:rPr>
            </w:pP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Change in contingent consideration</w:t>
            </w:r>
          </w:p>
        </w:tc>
        <w:tc>
          <w:tcPr>
            <w:tcW w:w="1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7,230</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(179)</w:t>
            </w:r>
          </w:p>
        </w:tc>
      </w:tr>
      <w:tr>
        <w:trPr>
          <w:trHeight w:val="263"/>
        </w:trPr>
        <w:tc>
          <w:tcPr>
            <w:tcW w:w="80" w:type="dxa"/>
            <w:vAlign w:val="bottom"/>
          </w:tcPr>
          <w:p>
            <w:pPr>
              <w:spacing w:after="0"/>
              <w:rPr>
                <w:sz w:val="22"/>
                <w:szCs w:val="22"/>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19,089</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18,614</w:t>
            </w:r>
          </w:p>
        </w:tc>
      </w:tr>
      <w:tr>
        <w:trPr>
          <w:trHeight w:val="34"/>
        </w:trPr>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c>
          <w:tcPr>
            <w:tcW w:w="3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77"/>
        </w:trPr>
        <w:tc>
          <w:tcPr>
            <w:tcW w:w="80" w:type="dxa"/>
            <w:vAlign w:val="bottom"/>
          </w:tcPr>
          <w:p>
            <w:pPr>
              <w:spacing w:after="0"/>
              <w:rPr>
                <w:sz w:val="24"/>
                <w:szCs w:val="24"/>
                <w:color w:val="auto"/>
              </w:rPr>
            </w:pP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segment expense (income)*</w:t>
            </w:r>
          </w:p>
        </w:tc>
        <w:tc>
          <w:tcPr>
            <w:tcW w:w="1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(441)</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(1,254)</w:t>
            </w:r>
          </w:p>
        </w:tc>
      </w:tr>
      <w:tr>
        <w:trPr>
          <w:trHeight w:val="263"/>
        </w:trPr>
        <w:tc>
          <w:tcPr>
            <w:tcW w:w="80" w:type="dxa"/>
            <w:vAlign w:val="bottom"/>
          </w:tcPr>
          <w:p>
            <w:pPr>
              <w:spacing w:after="0"/>
              <w:rPr>
                <w:sz w:val="22"/>
                <w:szCs w:val="22"/>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Interest expense</w:t>
            </w:r>
          </w:p>
        </w:tc>
        <w:tc>
          <w:tcPr>
            <w:tcW w:w="1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4,941</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4,806</w:t>
            </w:r>
          </w:p>
        </w:tc>
      </w:tr>
      <w:tr>
        <w:trPr>
          <w:trHeight w:val="35"/>
        </w:trPr>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c>
          <w:tcPr>
            <w:tcW w:w="3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7"/>
        </w:trPr>
        <w:tc>
          <w:tcPr>
            <w:tcW w:w="80" w:type="dxa"/>
            <w:vAlign w:val="bottom"/>
          </w:tcPr>
          <w:p>
            <w:pPr>
              <w:spacing w:after="0"/>
              <w:rPr>
                <w:sz w:val="24"/>
                <w:szCs w:val="24"/>
                <w:color w:val="auto"/>
              </w:rPr>
            </w:pP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1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820</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(201)</w:t>
            </w:r>
          </w:p>
        </w:tc>
      </w:tr>
      <w:tr>
        <w:trPr>
          <w:trHeight w:val="287"/>
        </w:trPr>
        <w:tc>
          <w:tcPr>
            <w:tcW w:w="80" w:type="dxa"/>
            <w:vAlign w:val="bottom"/>
          </w:tcPr>
          <w:p>
            <w:pPr>
              <w:spacing w:after="0"/>
              <w:rPr>
                <w:sz w:val="24"/>
                <w:szCs w:val="24"/>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Segment net income (loss)</w:t>
            </w:r>
          </w:p>
        </w:tc>
        <w:tc>
          <w:tcPr>
            <w:tcW w:w="1160" w:type="dxa"/>
            <w:vAlign w:val="bottom"/>
            <w:tcBorders>
              <w:top w:val="single" w:sz="8" w:color="auto"/>
              <w:bottom w:val="single" w:sz="8" w:color="auto"/>
            </w:tcBorders>
          </w:tcPr>
          <w:p>
            <w:pPr>
              <w:jc w:val="right"/>
              <w:ind w:right="948"/>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(8,763)</w:t>
            </w:r>
          </w:p>
        </w:tc>
        <w:tc>
          <w:tcPr>
            <w:tcW w:w="100" w:type="dxa"/>
            <w:vAlign w:val="bottom"/>
          </w:tcPr>
          <w:p>
            <w:pPr>
              <w:spacing w:after="0"/>
              <w:rPr>
                <w:sz w:val="24"/>
                <w:szCs w:val="24"/>
                <w:color w:val="auto"/>
              </w:rPr>
            </w:pPr>
          </w:p>
        </w:tc>
        <w:tc>
          <w:tcPr>
            <w:tcW w:w="66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4,743</w:t>
            </w:r>
          </w:p>
        </w:tc>
      </w:tr>
      <w:tr>
        <w:trPr>
          <w:trHeight w:val="20"/>
        </w:trPr>
        <w:tc>
          <w:tcPr>
            <w:tcW w:w="80" w:type="dxa"/>
            <w:vAlign w:val="bottom"/>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19"/>
        </w:trPr>
        <w:tc>
          <w:tcPr>
            <w:tcW w:w="80" w:type="dxa"/>
            <w:vAlign w:val="bottom"/>
          </w:tcPr>
          <w:p>
            <w:pPr>
              <w:spacing w:after="0"/>
              <w:rPr>
                <w:sz w:val="10"/>
                <w:szCs w:val="10"/>
                <w:color w:val="auto"/>
              </w:rPr>
            </w:pPr>
          </w:p>
        </w:tc>
        <w:tc>
          <w:tcPr>
            <w:tcW w:w="3220" w:type="dxa"/>
            <w:vAlign w:val="bottom"/>
            <w:shd w:val="clear" w:color="auto" w:fill="CCEEFF"/>
          </w:tcPr>
          <w:p>
            <w:pPr>
              <w:spacing w:after="0"/>
              <w:rPr>
                <w:sz w:val="10"/>
                <w:szCs w:val="10"/>
                <w:color w:val="auto"/>
              </w:rPr>
            </w:pPr>
          </w:p>
        </w:tc>
        <w:tc>
          <w:tcPr>
            <w:tcW w:w="38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r>
        <w:trPr>
          <w:trHeight w:val="263"/>
        </w:trPr>
        <w:tc>
          <w:tcPr>
            <w:tcW w:w="80" w:type="dxa"/>
            <w:vAlign w:val="bottom"/>
          </w:tcPr>
          <w:p>
            <w:pPr>
              <w:spacing w:after="0"/>
              <w:rPr>
                <w:sz w:val="22"/>
                <w:szCs w:val="22"/>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Reconciliation of profit or loss</w:t>
            </w: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35"/>
        </w:trPr>
        <w:tc>
          <w:tcPr>
            <w:tcW w:w="80" w:type="dxa"/>
            <w:vAlign w:val="bottom"/>
          </w:tcPr>
          <w:p>
            <w:pPr>
              <w:spacing w:after="0"/>
              <w:rPr>
                <w:sz w:val="3"/>
                <w:szCs w:val="3"/>
                <w:color w:val="auto"/>
              </w:rPr>
            </w:pPr>
          </w:p>
        </w:tc>
        <w:tc>
          <w:tcPr>
            <w:tcW w:w="3220" w:type="dxa"/>
            <w:vAlign w:val="bottom"/>
          </w:tcPr>
          <w:p>
            <w:pPr>
              <w:spacing w:after="0"/>
              <w:rPr>
                <w:sz w:val="3"/>
                <w:szCs w:val="3"/>
                <w:color w:val="auto"/>
              </w:rPr>
            </w:pPr>
          </w:p>
        </w:tc>
        <w:tc>
          <w:tcPr>
            <w:tcW w:w="3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7"/>
        </w:trPr>
        <w:tc>
          <w:tcPr>
            <w:tcW w:w="80" w:type="dxa"/>
            <w:vAlign w:val="bottom"/>
          </w:tcPr>
          <w:p>
            <w:pPr>
              <w:spacing w:after="0"/>
              <w:rPr>
                <w:sz w:val="24"/>
                <w:szCs w:val="24"/>
                <w:color w:val="auto"/>
              </w:rPr>
            </w:pPr>
          </w:p>
        </w:tc>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Adjustments and reconciling items</w:t>
            </w:r>
          </w:p>
        </w:tc>
        <w:tc>
          <w:tcPr>
            <w:tcW w:w="1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7"/>
        </w:trPr>
        <w:tc>
          <w:tcPr>
            <w:tcW w:w="80" w:type="dxa"/>
            <w:vAlign w:val="bottom"/>
          </w:tcPr>
          <w:p>
            <w:pPr>
              <w:spacing w:after="0"/>
              <w:rPr>
                <w:sz w:val="24"/>
                <w:szCs w:val="24"/>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Consolidated net income (loss)</w:t>
            </w:r>
          </w:p>
        </w:tc>
        <w:tc>
          <w:tcPr>
            <w:tcW w:w="1160" w:type="dxa"/>
            <w:vAlign w:val="bottom"/>
            <w:tcBorders>
              <w:top w:val="single" w:sz="8" w:color="auto"/>
              <w:bottom w:val="single" w:sz="8" w:color="auto"/>
            </w:tcBorders>
          </w:tcPr>
          <w:p>
            <w:pPr>
              <w:jc w:val="right"/>
              <w:ind w:right="948"/>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(8,763)</w:t>
            </w:r>
          </w:p>
        </w:tc>
        <w:tc>
          <w:tcPr>
            <w:tcW w:w="100" w:type="dxa"/>
            <w:vAlign w:val="bottom"/>
          </w:tcPr>
          <w:p>
            <w:pPr>
              <w:spacing w:after="0"/>
              <w:rPr>
                <w:sz w:val="24"/>
                <w:szCs w:val="24"/>
                <w:color w:val="auto"/>
              </w:rPr>
            </w:pPr>
          </w:p>
        </w:tc>
        <w:tc>
          <w:tcPr>
            <w:tcW w:w="66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4,743</w:t>
            </w:r>
          </w:p>
        </w:tc>
      </w:tr>
      <w:tr>
        <w:trPr>
          <w:trHeight w:val="24"/>
        </w:trPr>
        <w:tc>
          <w:tcPr>
            <w:tcW w:w="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15"/>
        </w:trPr>
        <w:tc>
          <w:tcPr>
            <w:tcW w:w="8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38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spacing w:after="0"/>
              <w:rPr>
                <w:sz w:val="10"/>
                <w:szCs w:val="10"/>
                <w:color w:val="auto"/>
              </w:rPr>
            </w:pPr>
          </w:p>
        </w:tc>
      </w:tr>
    </w:tbl>
    <w:p>
      <w:pPr>
        <w:spacing w:after="0" w:line="108" w:lineRule="exact"/>
        <w:rPr>
          <w:sz w:val="20"/>
          <w:szCs w:val="20"/>
          <w:color w:val="auto"/>
        </w:rPr>
      </w:pPr>
    </w:p>
    <w:p>
      <w:pPr>
        <w:ind w:left="180" w:right="20" w:hanging="172"/>
        <w:spacing w:after="0" w:line="298" w:lineRule="auto"/>
        <w:tabs>
          <w:tab w:leader="none" w:pos="15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expense (income) items included in segment net income include facilities related expense, marketing, travel, insurance, foreign currency exchange gains and losses, and other overhead expense.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Income Taxes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generally records its interim tax provision based upon a projection of the Company's estimated annual effective tax rate ("EAETR"). This EAETR is applied to the year-to-date consolidated pre-tax income to determine the interim provision for income taxes before discrete items. The effective tax rate ("ETR") each period is impacted by a number of factors, including the relative mix of domestic and international earnings, permanent differences, adjustments to the valuation allowances, and discrete items. The currently forecasted ETR may vary from the actual year-end due to the changes in these factors.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Company's global ETR for the three months ended March 31, 2026 and 2025 were (10)% and (4)%, respectively, including discrete tax items. The current year decrease in the ETR was principally due to the combined effect of the overall increase in pre-tax book loss, the impact of non-deductible items, and the tax effect of certain discrete items.</w:t>
      </w:r>
    </w:p>
    <w:p>
      <w:pPr>
        <w:spacing w:after="0" w:line="27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2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Basic earnings per share is computed by dividing net income (loss) attributable to common stockholders by the weighted-average common shares outstanding for the period. Diluted earnings per share is computed by dividing the net income (loss) attributable to stockholders by the weighted-average number of shares and dilutive potential common shares during the period.</w:t>
      </w:r>
    </w:p>
    <w:p>
      <w:pPr>
        <w:spacing w:after="0" w:line="220"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33020</wp:posOffset>
            </wp:positionV>
            <wp:extent cx="25114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2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60" w:type="dxa"/>
            <w:vAlign w:val="bottom"/>
            <w:gridSpan w:val="4"/>
            <w:shd w:val="clear" w:color="auto" w:fill="CCEEFF"/>
          </w:tcPr>
          <w:p>
            <w:pPr>
              <w:jc w:val="right"/>
              <w:ind w:right="372"/>
              <w:spacing w:after="0"/>
              <w:rPr>
                <w:sz w:val="20"/>
                <w:szCs w:val="20"/>
                <w:color w:val="auto"/>
              </w:rPr>
            </w:pPr>
            <w:r>
              <w:rPr>
                <w:rFonts w:ascii="Times New Roman" w:cs="Times New Roman" w:eastAsia="Times New Roman" w:hAnsi="Times New Roman"/>
                <w:sz w:val="16"/>
                <w:szCs w:val="16"/>
                <w:color w:val="auto"/>
              </w:rPr>
              <w:t>(In thousands, except per share and share data)</w:t>
            </w: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available to common shareholders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157,754,647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160,996,258</w:t>
            </w:r>
          </w:p>
        </w:tc>
        <w:tc>
          <w:tcPr>
            <w:tcW w:w="0" w:type="dxa"/>
            <w:vAlign w:val="bottom"/>
          </w:tcPr>
          <w:p>
            <w:pPr>
              <w:spacing w:after="0"/>
              <w:rPr>
                <w:sz w:val="1"/>
                <w:szCs w:val="1"/>
                <w:color w:val="auto"/>
              </w:rPr>
            </w:pPr>
          </w:p>
        </w:tc>
      </w:tr>
      <w:tr>
        <w:trPr>
          <w:trHeight w:val="26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available to common shares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157,754,647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160,996,258</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354,034</w:t>
            </w:r>
          </w:p>
        </w:tc>
        <w:tc>
          <w:tcPr>
            <w:tcW w:w="0" w:type="dxa"/>
            <w:vAlign w:val="bottom"/>
          </w:tcPr>
          <w:p>
            <w:pPr>
              <w:spacing w:after="0"/>
              <w:rPr>
                <w:sz w:val="1"/>
                <w:szCs w:val="1"/>
                <w:color w:val="auto"/>
              </w:rPr>
            </w:pPr>
          </w:p>
        </w:tc>
      </w:tr>
      <w:tr>
        <w:trPr>
          <w:trHeight w:val="237"/>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157,754,647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161,350,292</w:t>
            </w:r>
          </w:p>
        </w:tc>
        <w:tc>
          <w:tcPr>
            <w:tcW w:w="0" w:type="dxa"/>
            <w:vAlign w:val="bottom"/>
          </w:tcPr>
          <w:p>
            <w:pPr>
              <w:spacing w:after="0"/>
              <w:rPr>
                <w:sz w:val="1"/>
                <w:szCs w:val="1"/>
                <w:color w:val="auto"/>
              </w:rPr>
            </w:pPr>
          </w:p>
        </w:tc>
      </w:tr>
      <w:tr>
        <w:trPr>
          <w:trHeight w:val="27"/>
        </w:trPr>
        <w:tc>
          <w:tcPr>
            <w:tcW w:w="7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40" w:right="20" w:hanging="332"/>
        <w:spacing w:after="0" w:line="263" w:lineRule="auto"/>
        <w:tabs>
          <w:tab w:leader="none" w:pos="25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2026, the Company repurchased 5,814,484 shares of its common stock under the stock repurchase program authorized by the Company's Board of Directors on April 11, 2025. The program total authorizes the Company to repurchase up to $100,000 of its common stock.</w:t>
      </w:r>
    </w:p>
    <w:p>
      <w:pPr>
        <w:spacing w:after="0" w:line="204" w:lineRule="exact"/>
        <w:rPr>
          <w:rFonts w:ascii="Times New Roman" w:cs="Times New Roman" w:eastAsia="Times New Roman" w:hAnsi="Times New Roman"/>
          <w:sz w:val="16"/>
          <w:szCs w:val="16"/>
          <w:color w:val="auto"/>
        </w:rPr>
      </w:pPr>
    </w:p>
    <w:p>
      <w:pPr>
        <w:ind w:left="340" w:hanging="332"/>
        <w:spacing w:after="0" w:line="263" w:lineRule="auto"/>
        <w:tabs>
          <w:tab w:leader="none" w:pos="245"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2026, the Company excluded potentially dilutive securities from the calculation of diluted earnings per share that could potentially dilute earnings per share in the future because of the anti-dilutive effect of the reported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31" w:name="page32"/>
    <w:bookmarkEnd w:id="31"/>
    <w:p>
      <w:pPr>
        <w:spacing w:after="0" w:line="15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Subsequent Event</w:t>
      </w:r>
    </w:p>
    <w:p>
      <w:pPr>
        <w:spacing w:after="0" w:line="233"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20"/>
          <w:szCs w:val="20"/>
          <w:color w:val="auto"/>
        </w:rPr>
        <w:t>On May 08, 2026, the Company completed the sale of its global medical writing and related regulatory services business to Veristat, LLC. The transaction included cash consideration of $85,000, subject to customary post-closing adjustments, as well as an additional $15,000 placed in escrow, which would be released to the Company upon satisfaction of certain post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closing conditions. The Company is also eligible to receive cash earn-out of up to $35,000 based on the financial performance (as defined in the purchase agreement) of such business over a specified period following closing. The Company currently expects to recognize a loss on the transaction ranging from approximately $28,891 to $53,658. The actual loss recognized may differ from this estimate due to final working capital adjustments, the determination of fair value measurements, and the settlement of the earn-out.</w:t>
      </w:r>
    </w:p>
    <w:p>
      <w:pPr>
        <w:spacing w:after="0" w:line="20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 connection with the transaction, the Company entered into a transition services agreement pursuant to which it will provide certain services, including information technology and other administrative functions, for a defined period following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The following discussion summarizes the significant factors affecting the operating results, financial condition, liquidity, and cash flows of our Company as of and for the periods presented below. The following discussion and analysis should be read in conjunction with the unaudited condensed consolidated financial statements and the related notes thereto included elsewhere in this Quarterly Report and our 2025 Annual Report. The statements in this discussion regarding industry outlook, our expectations regarding our future performance, liquidity, and capital resources, and all other non-historical statements in this discussion are forward-looking statements and are based on the beliefs of our management, as well as assumptions made by, and information currently available to, our management. Actual results could differ materially from those discussed in or implied by forward-looking statements as a result of various factors, including those discussed below and elsewhere in this Quarterly Report, particularly in the section “Special Note Regarding Forward-Looking Statements” of this Quarterly Report.</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We intend the discussion of our financial condition and results of operations that follows to provide information that will assist the reader in understanding our condensed consolidated financial statements, the changes in certain key items in those financial statements from period to period, and the primary factors that accounted for those changes, as well as how certain accounting principles, policies, and estimates affect our condensed consolidated financial statements.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Overview</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are a global leader in biosimulation science, technology and consulting services for using Model-Informed Drug Development (“MIDD”) in the global biopharmaceutical and biotech industry. MIDD is an approach that utilizes biological and statistical models derived from preclinical, clinical, and evidence data to inform decision-making in drug research and development, and commercialization. Biosimulation is a critical component of MIDD that uses computer-aided mathematical simulation of biological processes and systems to understand the action of a drug in a human body or a population of humans. Our goal is to enable the life science industry to use data, modeling, and analytics to make better decisions during drug research, development and commercialization to increase productivity rates and vastly reduce development costs.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Drug development is necessarily a highly regulated process involving the collection of vast amounts of laboratory, clinical and evidence data, and there are many failures at every step along the way that add to total cost. On average, the pharmaceutical industry spends more than $290 billion annually on research and development(“R&amp;D”). Generally, companies spend an average of $6.2 billion per FDA-approved drug to develop one new medicine, including the cost of failures, according to “Analysis of pharma R&amp;D productivity - a new perspective needed” on Drug Discovery Today. Our technology and scientists incorporate modern advances in scientific understanding, drug research and development experience, data analysis, and AI, resulting in significant opportunities to decrease the cost and increase the odds of new drug approval and commercial success.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approach to AI is grounded in our long-standing expertise in mechanistic and empirical modeling. We deploy AI capabilities within validated scientific frameworks and expert-led workflows, rather than as standalone automated systems. This expert-in-the-loop model allows us to leverage native AI capabilities in a manner that is consistent with regulatory expectations for transparency, reproducibility, and explainability.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proprietary biosimulation platforms are built on biology, chemistry, and pharmacology principles with proprietary mathematical algorithms that model how medicines and diseases behave in the body. For over two decades, our scientists have developed and validated our biosimulation technology using data from scientific literature, laboratory research, preclinical and clinical studies. To do this, we have developed scientifically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6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based solutions for the collection, standardization, validation, storage, and analysis of the preclinical, clinical and evidence data needed for MIDD. These data solutions are used internally and industry wide by life sciences companies.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scientific principles underlying our work must be transparent and fully explainable during the regulatory process, so we have developed expertise in incorporating data, references and results into regulatory documents. Our software and regulatory scientific services streamline the creation of regulatory filings and speed regulatory data flow to maximize the chances of successful commercialization.</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Native AI and machine learning technologies are being incorporated across our technology and consulting services portfolios, providing opportunities to expand the number of data sources utilized, better predict outcomes, and streamline reporting. For example, we are using machine learning to automate and speed the process of biosimulation, and we have created generative AI applications to aid in drafting regulatory documents from scientific analyses and clinical data.</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apply AI capabilities within established modeling environments and under the supervision of experienced scientists and regulatory experts. Our modeling platforms, curated datasets, and regulatory experience position us to incorporate emerging AI techniques in a controlled and scientifically rigorous manner. While AI can enhance productivity and insight generation, our solutions continue to rely on validated models and expert interpretation to support decision-making in regulated environments.</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leverage our validated software applications to deliver technology-enabled services. Our services are delivered by scientists with extensive drug development experience who aid our customers in applying biosimulation and MIDD to their specific projects.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Since 2014, customers who leverage our solutions have received 90% or more of all new drug approvals by FDA. We have worked with more than 2,600 life sciences companies and academic institutions and have collaborated on more than 10,000 customer projects in the last decade across a wide variety of therapeutic areas ranging from cancer and hematology to diabetes and hundreds of rare diseases. Our software products are licensed by more than 160,000 users and are also used by 20 global drug regulatory agencies, including the FDA, the UK’s MHRA, Japan's PMDA, and China’s NMPA.</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With continued innovation in and adoption of our biosimulation software, technology, and services, we believe more life science companies worldwide will leverage more of our end-to-end platform to reduce cost, accelerate speed to market, and ensure safety and efficacy of medicines for all patients.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Key Factors Affecting Our Performance</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believe that the growth and future success of our business depend on many factors. While each of these factors presents significant opportunities for our business, they also pose important challenges that we must successfully address to sustain our growth and improve the results of our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 Retention and Expansion</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Our future operating results depend, in part, on our ability to successfully enter new markets, increase our customer base, and retain and expand our relationships with existing customers. We monitor two key performance indicators to evaluate retention and expansion: new bookings and net retention rates.</w:t>
      </w:r>
    </w:p>
    <w:p>
      <w:pPr>
        <w:spacing w:after="0" w:line="168" w:lineRule="exact"/>
        <w:rPr>
          <w:sz w:val="20"/>
          <w:szCs w:val="20"/>
          <w:color w:val="auto"/>
        </w:rPr>
      </w:pPr>
    </w:p>
    <w:p>
      <w:pPr>
        <w:jc w:val="both"/>
        <w:ind w:left="660" w:hanging="328"/>
        <w:spacing w:after="0" w:line="268" w:lineRule="auto"/>
        <w:tabs>
          <w:tab w:leader="none" w:pos="6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Bookings: Our new bookings represent the estimated contract value of a signed contract or purchase order where there is sufficient or reasonable certainty about the customer’s ability and intent to fund and commence the software and/or services. Bookings vary from period to period depending on numerous factors, including the overall health of the biopharmaceutical industry, regulatory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62" w:lineRule="exact"/>
        <w:rPr>
          <w:sz w:val="20"/>
          <w:szCs w:val="20"/>
          <w:color w:val="auto"/>
        </w:rPr>
      </w:pPr>
    </w:p>
    <w:p>
      <w:pPr>
        <w:ind w:left="660" w:right="20"/>
        <w:spacing w:after="0" w:line="283" w:lineRule="auto"/>
        <w:rPr>
          <w:sz w:val="20"/>
          <w:szCs w:val="20"/>
          <w:color w:val="auto"/>
        </w:rPr>
      </w:pPr>
      <w:r>
        <w:rPr>
          <w:rFonts w:ascii="Times New Roman" w:cs="Times New Roman" w:eastAsia="Times New Roman" w:hAnsi="Times New Roman"/>
          <w:sz w:val="20"/>
          <w:szCs w:val="20"/>
          <w:color w:val="auto"/>
        </w:rPr>
        <w:t>developments, industry consolidation, and sales performance. Bookings have varied and will continue to vary significantly from quarter to quarter and from year to year.</w:t>
      </w:r>
    </w:p>
    <w:p>
      <w:pPr>
        <w:spacing w:after="0" w:line="146" w:lineRule="exact"/>
        <w:rPr>
          <w:sz w:val="20"/>
          <w:szCs w:val="20"/>
          <w:color w:val="auto"/>
        </w:rPr>
      </w:pPr>
    </w:p>
    <w:p>
      <w:pPr>
        <w:jc w:val="both"/>
        <w:ind w:left="660" w:hanging="328"/>
        <w:spacing w:after="0" w:line="261" w:lineRule="auto"/>
        <w:tabs>
          <w:tab w:leader="none" w:pos="6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Retention Rates: Our net retention rates measure the percentage of recurring revenue that is retained from existing software customers over a specific period of time, inclusive of price increases and expansion, excluding revenue from acquisitions occurred within the past 12 months.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summarizes our quarterly bookings and net software retention rate trends: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Pr>
          <w:p>
            <w:pPr>
              <w:spacing w:after="0"/>
              <w:rPr>
                <w:sz w:val="20"/>
                <w:szCs w:val="20"/>
                <w:color w:val="auto"/>
              </w:rPr>
            </w:pPr>
          </w:p>
        </w:tc>
      </w:tr>
      <w:tr>
        <w:trPr>
          <w:trHeight w:val="27"/>
        </w:trPr>
        <w:tc>
          <w:tcPr>
            <w:tcW w:w="69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940" w:type="dxa"/>
            <w:vAlign w:val="bottom"/>
          </w:tcPr>
          <w:p>
            <w:pPr>
              <w:spacing w:after="0"/>
              <w:rPr>
                <w:sz w:val="20"/>
                <w:szCs w:val="20"/>
                <w:color w:val="auto"/>
              </w:rPr>
            </w:pPr>
          </w:p>
        </w:tc>
        <w:tc>
          <w:tcPr>
            <w:tcW w:w="1300" w:type="dxa"/>
            <w:vAlign w:val="bottom"/>
          </w:tcPr>
          <w:p>
            <w:pPr>
              <w:jc w:val="center"/>
              <w:ind w:left="668"/>
              <w:spacing w:after="0"/>
              <w:rPr>
                <w:sz w:val="20"/>
                <w:szCs w:val="20"/>
                <w:color w:val="auto"/>
              </w:rPr>
            </w:pPr>
            <w:r>
              <w:rPr>
                <w:rFonts w:ascii="Times New Roman" w:cs="Times New Roman" w:eastAsia="Times New Roman" w:hAnsi="Times New Roman"/>
                <w:sz w:val="18"/>
                <w:szCs w:val="18"/>
                <w:b w:val="1"/>
                <w:bCs w:val="1"/>
                <w:color w:val="auto"/>
                <w:w w:val="95"/>
              </w:rPr>
              <w:t>Q1</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center"/>
              <w:ind w:left="667"/>
              <w:spacing w:after="0"/>
              <w:rPr>
                <w:sz w:val="20"/>
                <w:szCs w:val="20"/>
                <w:color w:val="auto"/>
              </w:rPr>
            </w:pPr>
            <w:r>
              <w:rPr>
                <w:rFonts w:ascii="Times New Roman" w:cs="Times New Roman" w:eastAsia="Times New Roman" w:hAnsi="Times New Roman"/>
                <w:sz w:val="18"/>
                <w:szCs w:val="18"/>
                <w:b w:val="1"/>
                <w:bCs w:val="1"/>
                <w:color w:val="auto"/>
                <w:w w:val="95"/>
              </w:rPr>
              <w:t>Q1</w:t>
            </w:r>
          </w:p>
        </w:tc>
        <w:tc>
          <w:tcPr>
            <w:tcW w:w="760" w:type="dxa"/>
            <w:vAlign w:val="bottom"/>
          </w:tcPr>
          <w:p>
            <w:pPr>
              <w:spacing w:after="0"/>
              <w:rPr>
                <w:sz w:val="20"/>
                <w:szCs w:val="20"/>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694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4"/>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(in millions except percentage)</w:t>
            </w:r>
          </w:p>
        </w:tc>
        <w:tc>
          <w:tcPr>
            <w:tcW w:w="760" w:type="dxa"/>
            <w:vAlign w:val="bottom"/>
            <w:tcBorders>
              <w:bottom w:val="single" w:sz="8" w:color="CCEEFF"/>
            </w:tcBorders>
            <w:shd w:val="clear" w:color="auto" w:fill="CCEEFF"/>
          </w:tcPr>
          <w:p>
            <w:pPr>
              <w:spacing w:after="0"/>
              <w:rPr>
                <w:sz w:val="21"/>
                <w:szCs w:val="21"/>
                <w:color w:val="auto"/>
              </w:rPr>
            </w:pPr>
          </w:p>
        </w:tc>
      </w:tr>
      <w:tr>
        <w:trPr>
          <w:trHeight w:val="263"/>
        </w:trPr>
        <w:tc>
          <w:tcPr>
            <w:tcW w:w="6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Bookings</w:t>
            </w:r>
          </w:p>
        </w:tc>
        <w:tc>
          <w:tcPr>
            <w:tcW w:w="1300" w:type="dxa"/>
            <w:vAlign w:val="bottom"/>
          </w:tcPr>
          <w:p>
            <w:pPr>
              <w:jc w:val="right"/>
              <w:ind w:right="1088"/>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115.3</w:t>
            </w:r>
          </w:p>
        </w:tc>
        <w:tc>
          <w:tcPr>
            <w:tcW w:w="80" w:type="dxa"/>
            <w:vAlign w:val="bottom"/>
          </w:tcPr>
          <w:p>
            <w:pPr>
              <w:spacing w:after="0"/>
              <w:rPr>
                <w:sz w:val="22"/>
                <w:szCs w:val="22"/>
                <w:color w:val="auto"/>
              </w:rPr>
            </w:pPr>
          </w:p>
        </w:tc>
        <w:tc>
          <w:tcPr>
            <w:tcW w:w="1300" w:type="dxa"/>
            <w:vAlign w:val="bottom"/>
          </w:tcPr>
          <w:p>
            <w:pPr>
              <w:jc w:val="right"/>
              <w:ind w:right="1087"/>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118.2</w:t>
            </w:r>
          </w:p>
        </w:tc>
      </w:tr>
      <w:tr>
        <w:trPr>
          <w:trHeight w:val="34"/>
        </w:trPr>
        <w:tc>
          <w:tcPr>
            <w:tcW w:w="69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6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Retention Rates</w:t>
            </w:r>
          </w:p>
        </w:tc>
        <w:tc>
          <w:tcPr>
            <w:tcW w:w="13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106.1 %</w:t>
            </w:r>
          </w:p>
        </w:tc>
        <w:tc>
          <w:tcPr>
            <w:tcW w:w="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102.4 %</w:t>
            </w:r>
          </w:p>
        </w:tc>
      </w:tr>
      <w:tr>
        <w:trPr>
          <w:trHeight w:val="35"/>
        </w:trPr>
        <w:tc>
          <w:tcPr>
            <w:tcW w:w="694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 in Growth</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invested and intend to continue to invest in expanding the breadth and depth of our solutions, including through acquisitions and international expansion. We expect to continue to invest in (i) scientific talent to expand our ability to deliver solutions across the drug development spectrum; (ii) sales and marketing to promote our solutions to new and existing customers and in existing and expanded geographies; (iii) research and development to support existing solutions and innovate new technology; (iv) other operational and administrative functions to support our expected growth; and (v) complementary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Operating Environment</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acceptance of model-informed biopharmaceutical discovery and development by regulatory authorities affects the demand for our products and services. Support for the use of biosimulation in discovery and development from regulatory bodies, such as the FDA and EMA, has been critical to its rapid adoption by the biopharmaceutical industry. There has been a steady increase in the recognition by regulatory and academic institutions of the role that modeling and simulation can play in the biopharmaceutical development and approval process, as demonstrated by new regulations and guidance documents describing and encouraging the use of modeling and simulation in the biopharmaceutical discovery, development, testing, and approval process, which has directly led to an increase in the demand for our services. Changes in government or regulatory policy, or a reversal in the trend toward increasing the acceptance of and reliance upon in silico data in the drug approval process, could decrease the demand for our products and services or lead regulatory authorities to cease use of, or recommend against the use of, our products and services.</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Governmental agencies throughout the world, but particularly in the United States where the majority of our customers are based, strictly regulate the biopharmaceutical development process. Our business involves helping biopharmaceutical companies strategically and tactically navigate the regulatory approval process. New or amended regulations are expected to result in higher regulatory standards and often additional revenues for companies that service these industries. However, some changes in regulations, such as a relaxation in regulatory requirements or the introduction of streamlined or expedited approval procedures, or an increase in regulatory requirements that we have difficulty satisfying or that make our regulatory strategy services less competitive, could eliminate or substantially reduce the demand for our regulatory services.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Additionally, changes in government leadership may also result in either stricter or more relaxed regulatory environments. In the United States, recent executive actions and related government initiatives concerning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prescription drug pricing, together with existing statutes and implementing guidance, may create additional uncertainty in pricing frameworks. For example, government-led initiatives to expand direct-to-consumer discount mechanisms and other pricing programs could alter market dynamics and may indirectly affect customer research and development investment levels and priorities. Furthermore, in the past year, there has been a general pullback of government support and funding for drug development, particularly for public sector and academic organizations, dependent on outside funding to develop early-stage research. Any material decrease or delay in demand for our technologies or services, or regulatory restrictions or requirements placed on them, may have a material adverse effect on our business, results of operations and 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market for our biosimulation products and related services for the biopharmaceutical industry is competitive and highly fragmented. In our view, the principal competitive factors in our market are the functionality and quality of models, the breadth of molecular types, therapeutic areas, and modalities supported, regulator acceptance of our solutions, ease of use and functionality of applications, depth of experience in drug development, brand awareness and reputation, total cost, and the ability to securely integrate with other enterprise applications and the overall drug development process in the customer.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Macroeconomic Conditions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Uncertain macroeconomic conditions, including higher inflation, rising interest rates and instability in the financial system, trade disputes, tariffs, changes in government funding, geopolitical conflicts, and pandemics or other infectious disease outbreaks, may pose challenges to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Non-GAAP Measures</w:t>
      </w:r>
    </w:p>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Management uses various financial metrics, including total revenues, income from operations, net income, and certain metrics that are not required by, or presented in accordance with, GAAP, such as adjusted EBITDA, adjusted net income, and adjusted diluted earnings per share, to measure and assess the performance of our business, to evaluate the effectiveness of our business strategies, to make budgeting decisions, to make certain compensation decisions, and to compare our performance against that of other peer companies using similar measures. We believe that the presentation of the GAAP and the non-GAAP metrics in this filing will aid investors in understanding our business.</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Management measures operating performance based on adjusted EBITDA defined for a particular period as net income (loss) excluding interest expense, provision (benefit) for income taxes, depreciation and amortization expense, equity-based compensation expense, change in contingent consideration, acquisition expense, and other items not indicative of our ongoing operating performance. Management also measures operating performance based on adjusted net income defined for a particular period as net income (loss) excluding equity-based compensation expense, amortization of acquisition-related intangible assets, change in contingent consideration, acquisition and integration expense, and other items not indicative of our ongoing operating performance. Further, management measures operating performance based on adjusted diluted earnings per share defined for a particular period as adjusted net income divided by the weighted-average diluted common shares outstanding.</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believe adjusted EBITDA, adjusted net income, and adjusted diluted earnings per share are helpful to investors, analysts, and other interested parties because they can assist in providing a more consistent and comparable overview of our operations across our historical periods. In addition, these measures are frequently used by analysts, investors, and other interested parties to evaluate and assess performance.</w:t>
      </w:r>
    </w:p>
    <w:p>
      <w:pPr>
        <w:spacing w:after="0" w:line="17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Adjusted EBITDA, adjusted net income, and adjusted diluted earnings per share are non-GAAP measures and are presented for supplemental purposes only and should not be considered as an alternative or substitute to</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6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financial information presented in accordance with GAAP. Adjusted EBITDA, adjusted net income, and adjusted diluted earnings per share have certain limitations in that they do not include the impact of certain expenses that are reflected in our condensed consolidated statements of operations and comprehensive income (loss) that are necessary to run our business. Other companies, including those in our industry, may not use these measures and may calculate them differently than those presented, limiting the usefulness as a comparative measure.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reconciles net income (loss) to Adjusted EBITDA: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20"/>
          <w:szCs w:val="20"/>
          <w:b w:val="1"/>
          <w:bCs w:val="1"/>
          <w:color w:val="auto"/>
        </w:rPr>
        <w:t>THREE MONTHS ENDED</w:t>
      </w:r>
    </w:p>
    <w:p>
      <w:pPr>
        <w:spacing w:after="0" w:line="32"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20"/>
          <w:szCs w:val="2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21590</wp:posOffset>
            </wp:positionV>
            <wp:extent cx="25203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60" w:type="dxa"/>
            <w:vAlign w:val="bottom"/>
          </w:tcPr>
          <w:p>
            <w:pPr>
              <w:jc w:val="right"/>
              <w:ind w:right="661"/>
              <w:spacing w:after="0"/>
              <w:rPr>
                <w:sz w:val="20"/>
                <w:szCs w:val="20"/>
                <w:color w:val="auto"/>
              </w:rPr>
            </w:pPr>
            <w:r>
              <w:rPr>
                <w:rFonts w:ascii="Times New Roman" w:cs="Times New Roman" w:eastAsia="Times New Roman" w:hAnsi="Times New Roman"/>
                <w:sz w:val="20"/>
                <w:szCs w:val="20"/>
                <w:color w:val="auto"/>
              </w:rPr>
              <w:t>2025</w:t>
            </w:r>
          </w:p>
        </w:tc>
      </w:tr>
      <w:tr>
        <w:trPr>
          <w:trHeight w:val="34"/>
        </w:trPr>
        <w:tc>
          <w:tcPr>
            <w:tcW w:w="722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7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6"/>
                <w:szCs w:val="16"/>
                <w:color w:val="auto"/>
              </w:rPr>
            </w:pPr>
          </w:p>
        </w:tc>
      </w:tr>
      <w:tr>
        <w:trPr>
          <w:trHeight w:val="37"/>
        </w:trPr>
        <w:tc>
          <w:tcPr>
            <w:tcW w:w="7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 (loss)(a)</w:t>
            </w:r>
          </w:p>
        </w:tc>
        <w:tc>
          <w:tcPr>
            <w:tcW w:w="1240" w:type="dxa"/>
            <w:vAlign w:val="bottom"/>
            <w:tcBorders>
              <w:bottom w:val="single" w:sz="8" w:color="CCEEFF"/>
            </w:tcBorders>
            <w:shd w:val="clear" w:color="auto" w:fill="CCEEFF"/>
          </w:tcPr>
          <w:p>
            <w:pPr>
              <w:jc w:val="right"/>
              <w:ind w:right="1021"/>
              <w:spacing w:after="0"/>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(8,763)</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6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4,743</w:t>
            </w:r>
          </w:p>
        </w:tc>
      </w:tr>
      <w:tr>
        <w:trPr>
          <w:trHeight w:val="263"/>
        </w:trPr>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expense(a)</w:t>
            </w:r>
          </w:p>
        </w:tc>
        <w:tc>
          <w:tcPr>
            <w:tcW w:w="1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4,806</w:t>
            </w:r>
          </w:p>
        </w:tc>
      </w:tr>
      <w:tr>
        <w:trPr>
          <w:trHeight w:val="35"/>
        </w:trPr>
        <w:tc>
          <w:tcPr>
            <w:tcW w:w="7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income(a)</w:t>
            </w:r>
          </w:p>
        </w:tc>
        <w:tc>
          <w:tcPr>
            <w:tcW w:w="12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(1,126)</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(1,642)</w:t>
            </w:r>
          </w:p>
        </w:tc>
      </w:tr>
      <w:tr>
        <w:trPr>
          <w:trHeight w:val="263"/>
        </w:trPr>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(Benefit from) provision for income taxes(a)</w:t>
            </w:r>
          </w:p>
        </w:tc>
        <w:tc>
          <w:tcPr>
            <w:tcW w:w="1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r>
      <w:tr>
        <w:trPr>
          <w:trHeight w:val="35"/>
        </w:trPr>
        <w:tc>
          <w:tcPr>
            <w:tcW w:w="7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Intangible asset amortization and fixed assets depreciation(a)</w:t>
            </w:r>
          </w:p>
        </w:tc>
        <w:tc>
          <w:tcPr>
            <w:tcW w:w="12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19,089</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18,614</w:t>
            </w:r>
          </w:p>
        </w:tc>
      </w:tr>
      <w:tr>
        <w:trPr>
          <w:trHeight w:val="263"/>
        </w:trPr>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Currency (gain) loss(a)</w:t>
            </w:r>
          </w:p>
        </w:tc>
        <w:tc>
          <w:tcPr>
            <w:tcW w:w="1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34"/>
        </w:trPr>
        <w:tc>
          <w:tcPr>
            <w:tcW w:w="7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Equity-based compensation expense(b)</w:t>
            </w:r>
          </w:p>
        </w:tc>
        <w:tc>
          <w:tcPr>
            <w:tcW w:w="12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7,320</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7,070</w:t>
            </w:r>
          </w:p>
        </w:tc>
      </w:tr>
      <w:tr>
        <w:trPr>
          <w:trHeight w:val="263"/>
        </w:trPr>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Change in contingent consideration(d)</w:t>
            </w:r>
          </w:p>
        </w:tc>
        <w:tc>
          <w:tcPr>
            <w:tcW w:w="1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7,230</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w:t>
            </w:r>
          </w:p>
        </w:tc>
      </w:tr>
      <w:tr>
        <w:trPr>
          <w:trHeight w:val="35"/>
        </w:trPr>
        <w:tc>
          <w:tcPr>
            <w:tcW w:w="7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Acquisition-related expenses(e)</w:t>
            </w:r>
          </w:p>
        </w:tc>
        <w:tc>
          <w:tcPr>
            <w:tcW w:w="12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876</w:t>
            </w:r>
          </w:p>
        </w:tc>
      </w:tr>
      <w:tr>
        <w:trPr>
          <w:trHeight w:val="263"/>
        </w:trPr>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Reorganization expense(f)</w:t>
            </w:r>
          </w:p>
        </w:tc>
        <w:tc>
          <w:tcPr>
            <w:tcW w:w="1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34"/>
        </w:trPr>
        <w:tc>
          <w:tcPr>
            <w:tcW w:w="7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Loss (gain) on disposal of fixed assets(g)</w:t>
            </w:r>
          </w:p>
        </w:tc>
        <w:tc>
          <w:tcPr>
            <w:tcW w:w="12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63"/>
        </w:trPr>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Executive recruiting expense(h)</w:t>
            </w:r>
          </w:p>
        </w:tc>
        <w:tc>
          <w:tcPr>
            <w:tcW w:w="1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1,116</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w:t>
            </w:r>
          </w:p>
        </w:tc>
      </w:tr>
      <w:tr>
        <w:trPr>
          <w:trHeight w:val="35"/>
        </w:trPr>
        <w:tc>
          <w:tcPr>
            <w:tcW w:w="722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312"/>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Adjusted EBITDA</w:t>
            </w:r>
          </w:p>
        </w:tc>
        <w:tc>
          <w:tcPr>
            <w:tcW w:w="1240" w:type="dxa"/>
            <w:vAlign w:val="bottom"/>
            <w:tcBorders>
              <w:bottom w:val="single" w:sz="8" w:color="auto"/>
            </w:tcBorders>
            <w:shd w:val="clear" w:color="auto" w:fill="CCEEFF"/>
          </w:tcPr>
          <w:p>
            <w:pPr>
              <w:jc w:val="right"/>
              <w:ind w:right="1021"/>
              <w:spacing w:after="0"/>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31,720</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34,843</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reconciles net income (loss) to adjusted net income: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20" w:type="dxa"/>
            <w:vAlign w:val="bottom"/>
          </w:tcPr>
          <w:p>
            <w:pPr>
              <w:spacing w:after="0"/>
              <w:rPr>
                <w:sz w:val="19"/>
                <w:szCs w:val="19"/>
                <w:color w:val="auto"/>
              </w:rPr>
            </w:pPr>
          </w:p>
        </w:tc>
        <w:tc>
          <w:tcPr>
            <w:tcW w:w="3960" w:type="dxa"/>
            <w:vAlign w:val="bottom"/>
            <w:tcBorders>
              <w:bottom w:val="single" w:sz="8" w:color="auto"/>
            </w:tcBorders>
            <w:gridSpan w:val="5"/>
          </w:tcPr>
          <w:p>
            <w:pPr>
              <w:jc w:val="right"/>
              <w:ind w:right="46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7220" w:type="dxa"/>
            <w:vAlign w:val="bottom"/>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3"/>
        </w:trPr>
        <w:tc>
          <w:tcPr>
            <w:tcW w:w="7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Pr>
          <w:p>
            <w:pPr>
              <w:spacing w:after="0"/>
              <w:rPr>
                <w:sz w:val="16"/>
                <w:szCs w:val="16"/>
                <w:color w:val="auto"/>
              </w:rPr>
            </w:pPr>
          </w:p>
        </w:tc>
      </w:tr>
      <w:tr>
        <w:trPr>
          <w:trHeight w:val="37"/>
        </w:trPr>
        <w:tc>
          <w:tcPr>
            <w:tcW w:w="7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7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 (loss) (a)</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(8,763)</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38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4,743</w:t>
            </w:r>
          </w:p>
        </w:tc>
      </w:tr>
      <w:tr>
        <w:trPr>
          <w:trHeight w:val="263"/>
        </w:trPr>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Currency (gain) loss(a)</w:t>
            </w:r>
          </w:p>
        </w:tc>
        <w:tc>
          <w:tcPr>
            <w:tcW w:w="1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34"/>
        </w:trPr>
        <w:tc>
          <w:tcPr>
            <w:tcW w:w="7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7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Equity-based compensation expense(b)</w:t>
            </w:r>
          </w:p>
        </w:tc>
        <w:tc>
          <w:tcPr>
            <w:tcW w:w="1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7,320</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7,070</w:t>
            </w:r>
          </w:p>
        </w:tc>
      </w:tr>
      <w:tr>
        <w:trPr>
          <w:trHeight w:val="263"/>
        </w:trPr>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Amortization of acquisition-related intangible assets(c)</w:t>
            </w:r>
          </w:p>
        </w:tc>
        <w:tc>
          <w:tcPr>
            <w:tcW w:w="1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13,855</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14,052</w:t>
            </w:r>
          </w:p>
        </w:tc>
      </w:tr>
      <w:tr>
        <w:trPr>
          <w:trHeight w:val="35"/>
        </w:trPr>
        <w:tc>
          <w:tcPr>
            <w:tcW w:w="7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7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Change in contingent consideration(d)</w:t>
            </w:r>
          </w:p>
        </w:tc>
        <w:tc>
          <w:tcPr>
            <w:tcW w:w="1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7,230</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(179)</w:t>
            </w:r>
          </w:p>
        </w:tc>
      </w:tr>
      <w:tr>
        <w:trPr>
          <w:trHeight w:val="263"/>
        </w:trPr>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Acquisition-related expenses(e)</w:t>
            </w:r>
          </w:p>
        </w:tc>
        <w:tc>
          <w:tcPr>
            <w:tcW w:w="1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876</w:t>
            </w:r>
          </w:p>
        </w:tc>
      </w:tr>
      <w:tr>
        <w:trPr>
          <w:trHeight w:val="34"/>
        </w:trPr>
        <w:tc>
          <w:tcPr>
            <w:tcW w:w="7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7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Reorganization expense(f)</w:t>
            </w:r>
          </w:p>
        </w:tc>
        <w:tc>
          <w:tcPr>
            <w:tcW w:w="1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1,005</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63"/>
        </w:trPr>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Loss (gain) on disposal of fixed assets(g)</w:t>
            </w:r>
          </w:p>
        </w:tc>
        <w:tc>
          <w:tcPr>
            <w:tcW w:w="1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4"/>
        </w:trPr>
        <w:tc>
          <w:tcPr>
            <w:tcW w:w="7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7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Executive recruiting expense(h)</w:t>
            </w:r>
          </w:p>
        </w:tc>
        <w:tc>
          <w:tcPr>
            <w:tcW w:w="1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1,116</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661</w:t>
            </w:r>
          </w:p>
        </w:tc>
      </w:tr>
      <w:tr>
        <w:trPr>
          <w:trHeight w:val="263"/>
        </w:trPr>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Income tax expense impact of adjustments(i)</w:t>
            </w:r>
          </w:p>
        </w:tc>
        <w:tc>
          <w:tcPr>
            <w:tcW w:w="1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(7,349)</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(5,071)</w:t>
            </w:r>
          </w:p>
        </w:tc>
      </w:tr>
      <w:tr>
        <w:trPr>
          <w:trHeight w:val="34"/>
        </w:trPr>
        <w:tc>
          <w:tcPr>
            <w:tcW w:w="722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312"/>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Adjusted net income</w:t>
            </w: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14,502</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22,247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reconciles diluted earnings per share to adjusted diluted earnings per share: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4"/>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56"/>
        </w:trPr>
        <w:tc>
          <w:tcPr>
            <w:tcW w:w="7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Diluted earnings per share(a)</w:t>
            </w:r>
          </w:p>
        </w:tc>
        <w:tc>
          <w:tcPr>
            <w:tcW w:w="3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(0.06)</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0" w:type="dxa"/>
            <w:vAlign w:val="bottom"/>
          </w:tcPr>
          <w:p>
            <w:pPr>
              <w:spacing w:after="0"/>
              <w:rPr>
                <w:sz w:val="1"/>
                <w:szCs w:val="1"/>
                <w:color w:val="auto"/>
              </w:rPr>
            </w:pPr>
          </w:p>
        </w:tc>
      </w:tr>
      <w:tr>
        <w:trPr>
          <w:trHeight w:val="263"/>
        </w:trPr>
        <w:tc>
          <w:tcPr>
            <w:tcW w:w="7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Currency (gain) loss(a)</w:t>
            </w:r>
          </w:p>
        </w:tc>
        <w:tc>
          <w:tcPr>
            <w:tcW w:w="340" w:type="dxa"/>
            <w:vAlign w:val="bottom"/>
          </w:tcPr>
          <w:p>
            <w:pPr>
              <w:spacing w:after="0"/>
              <w:rPr>
                <w:sz w:val="22"/>
                <w:szCs w:val="22"/>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5"/>
        </w:trPr>
        <w:tc>
          <w:tcPr>
            <w:tcW w:w="7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Equity-based compensation expense(b)</w:t>
            </w:r>
          </w:p>
        </w:tc>
        <w:tc>
          <w:tcPr>
            <w:tcW w:w="3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0.04</w:t>
            </w:r>
          </w:p>
        </w:tc>
        <w:tc>
          <w:tcPr>
            <w:tcW w:w="0" w:type="dxa"/>
            <w:vAlign w:val="bottom"/>
          </w:tcPr>
          <w:p>
            <w:pPr>
              <w:spacing w:after="0"/>
              <w:rPr>
                <w:sz w:val="1"/>
                <w:szCs w:val="1"/>
                <w:color w:val="auto"/>
              </w:rPr>
            </w:pPr>
          </w:p>
        </w:tc>
      </w:tr>
      <w:tr>
        <w:trPr>
          <w:trHeight w:val="263"/>
        </w:trPr>
        <w:tc>
          <w:tcPr>
            <w:tcW w:w="7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Amortization of acquisition-related intangible assets(c)</w:t>
            </w:r>
          </w:p>
        </w:tc>
        <w:tc>
          <w:tcPr>
            <w:tcW w:w="3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0.09</w:t>
            </w:r>
          </w:p>
        </w:tc>
        <w:tc>
          <w:tcPr>
            <w:tcW w:w="0" w:type="dxa"/>
            <w:vAlign w:val="bottom"/>
          </w:tcPr>
          <w:p>
            <w:pPr>
              <w:spacing w:after="0"/>
              <w:rPr>
                <w:sz w:val="1"/>
                <w:szCs w:val="1"/>
                <w:color w:val="auto"/>
              </w:rPr>
            </w:pPr>
          </w:p>
        </w:tc>
      </w:tr>
      <w:tr>
        <w:trPr>
          <w:trHeight w:val="34"/>
        </w:trPr>
        <w:tc>
          <w:tcPr>
            <w:tcW w:w="7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Change in contingent consideration(d)</w:t>
            </w:r>
          </w:p>
        </w:tc>
        <w:tc>
          <w:tcPr>
            <w:tcW w:w="3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7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Acquisition-related expenses(e)</w:t>
            </w:r>
          </w:p>
        </w:tc>
        <w:tc>
          <w:tcPr>
            <w:tcW w:w="340" w:type="dxa"/>
            <w:vAlign w:val="bottom"/>
          </w:tcPr>
          <w:p>
            <w:pPr>
              <w:spacing w:after="0"/>
              <w:rPr>
                <w:sz w:val="22"/>
                <w:szCs w:val="22"/>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0" w:type="dxa"/>
            <w:vAlign w:val="bottom"/>
          </w:tcPr>
          <w:p>
            <w:pPr>
              <w:spacing w:after="0"/>
              <w:rPr>
                <w:sz w:val="1"/>
                <w:szCs w:val="1"/>
                <w:color w:val="auto"/>
              </w:rPr>
            </w:pPr>
          </w:p>
        </w:tc>
      </w:tr>
      <w:tr>
        <w:trPr>
          <w:trHeight w:val="35"/>
        </w:trPr>
        <w:tc>
          <w:tcPr>
            <w:tcW w:w="7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Reorganization expense(f)</w:t>
            </w:r>
          </w:p>
        </w:tc>
        <w:tc>
          <w:tcPr>
            <w:tcW w:w="3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7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Loss (gain) on disposal of fixed assets(g)</w:t>
            </w:r>
          </w:p>
        </w:tc>
        <w:tc>
          <w:tcPr>
            <w:tcW w:w="340" w:type="dxa"/>
            <w:vAlign w:val="bottom"/>
          </w:tcPr>
          <w:p>
            <w:pPr>
              <w:spacing w:after="0"/>
              <w:rPr>
                <w:sz w:val="22"/>
                <w:szCs w:val="22"/>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4"/>
        </w:trPr>
        <w:tc>
          <w:tcPr>
            <w:tcW w:w="7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Executive recruiting expense(h)</w:t>
            </w:r>
          </w:p>
        </w:tc>
        <w:tc>
          <w:tcPr>
            <w:tcW w:w="3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7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Income tax expense impact of adjustments(i)</w:t>
            </w:r>
          </w:p>
        </w:tc>
        <w:tc>
          <w:tcPr>
            <w:tcW w:w="3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0" w:type="dxa"/>
            <w:vAlign w:val="bottom"/>
          </w:tcPr>
          <w:p>
            <w:pPr>
              <w:spacing w:after="0"/>
              <w:rPr>
                <w:sz w:val="1"/>
                <w:szCs w:val="1"/>
                <w:color w:val="auto"/>
              </w:rPr>
            </w:pPr>
          </w:p>
        </w:tc>
      </w:tr>
      <w:tr>
        <w:trPr>
          <w:trHeight w:val="35"/>
        </w:trPr>
        <w:tc>
          <w:tcPr>
            <w:tcW w:w="7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Adjusted diluted earnings per share</w:t>
            </w: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0.14</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Basic weighted average common shares outstanding</w:t>
            </w:r>
          </w:p>
        </w:tc>
        <w:tc>
          <w:tcPr>
            <w:tcW w:w="3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157,754,647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160,996,258</w:t>
            </w:r>
          </w:p>
        </w:tc>
        <w:tc>
          <w:tcPr>
            <w:tcW w:w="0" w:type="dxa"/>
            <w:vAlign w:val="bottom"/>
          </w:tcPr>
          <w:p>
            <w:pPr>
              <w:spacing w:after="0"/>
              <w:rPr>
                <w:sz w:val="1"/>
                <w:szCs w:val="1"/>
                <w:color w:val="auto"/>
              </w:rPr>
            </w:pPr>
          </w:p>
        </w:tc>
      </w:tr>
      <w:tr>
        <w:trPr>
          <w:trHeight w:val="263"/>
        </w:trPr>
        <w:tc>
          <w:tcPr>
            <w:tcW w:w="7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Effect of potentially dilutive shares outstanding (j)</w:t>
            </w:r>
          </w:p>
        </w:tc>
        <w:tc>
          <w:tcPr>
            <w:tcW w:w="3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269,516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354,034</w:t>
            </w:r>
          </w:p>
        </w:tc>
        <w:tc>
          <w:tcPr>
            <w:tcW w:w="0" w:type="dxa"/>
            <w:vAlign w:val="bottom"/>
          </w:tcPr>
          <w:p>
            <w:pPr>
              <w:spacing w:after="0"/>
              <w:rPr>
                <w:sz w:val="1"/>
                <w:szCs w:val="1"/>
                <w:color w:val="auto"/>
              </w:rPr>
            </w:pPr>
          </w:p>
        </w:tc>
      </w:tr>
      <w:tr>
        <w:trPr>
          <w:trHeight w:val="34"/>
        </w:trPr>
        <w:tc>
          <w:tcPr>
            <w:tcW w:w="7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Adjusted diluted weighted average common shares outstanding</w:t>
            </w:r>
          </w:p>
        </w:tc>
        <w:tc>
          <w:tcPr>
            <w:tcW w:w="34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158,024,163</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161,350,292</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20"/>
                <w:szCs w:val="20"/>
                <w:color w:val="auto"/>
              </w:rPr>
              <w:t>__________________________________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7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a measure determined under GAAP.</w:t>
      </w:r>
    </w:p>
    <w:p>
      <w:pPr>
        <w:spacing w:after="0" w:line="121" w:lineRule="exact"/>
        <w:rPr>
          <w:rFonts w:ascii="Times New Roman" w:cs="Times New Roman" w:eastAsia="Times New Roman" w:hAnsi="Times New Roman"/>
          <w:sz w:val="20"/>
          <w:szCs w:val="20"/>
          <w:color w:val="auto"/>
        </w:rPr>
      </w:pPr>
    </w:p>
    <w:p>
      <w:pPr>
        <w:ind w:left="340" w:hanging="332"/>
        <w:spacing w:after="0" w:line="269" w:lineRule="auto"/>
        <w:tabs>
          <w:tab w:leader="none" w:pos="32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expenses related to equity-based compensation. Equity-based compensation has been, and we expect will continue to be for the foreseeable future, a recurring expense in our business and an important part of our compensation strategy.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8" w:name="page39"/>
    <w:bookmarkEnd w:id="38"/>
    <w:p>
      <w:pPr>
        <w:spacing w:after="0" w:line="54"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amortization costs associated with acquired intangible assets in connection with business acquisitions.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expense associated with fair value adjustment or adjustment of contingent consideration of business acquisitions.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costs associated with mergers and acquisitions and any retention bonuses pursuant to the acquisitions.</w:t>
      </w:r>
    </w:p>
    <w:p>
      <w:pPr>
        <w:spacing w:after="0" w:line="121" w:lineRule="exact"/>
        <w:rPr>
          <w:rFonts w:ascii="Times New Roman" w:cs="Times New Roman" w:eastAsia="Times New Roman" w:hAnsi="Times New Roman"/>
          <w:sz w:val="20"/>
          <w:szCs w:val="20"/>
          <w:color w:val="auto"/>
        </w:rPr>
      </w:pPr>
    </w:p>
    <w:p>
      <w:pPr>
        <w:ind w:left="340" w:hanging="332"/>
        <w:spacing w:after="0" w:line="269" w:lineRule="auto"/>
        <w:tabs>
          <w:tab w:leader="none" w:pos="33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expenses related to reorganization, including legal entity reorganization and lease abandonment costs associated with the evaluation of our office space footprint.</w:t>
      </w:r>
    </w:p>
    <w:p>
      <w:pPr>
        <w:spacing w:after="0" w:line="64"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gain or loss related to the disposal of fixed assets.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recruiting, relocation expenses, and retention costs related to senior executives.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income tax effect of the non-GAAP adjustments calculated using the applicable statutory rate by jurisdiction.</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potentially dilutive shares that were included from our GAAP diluted weighted average common shares outstanding.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business generates revenue from the sales of software products and the delivery of consulting services.</w:t>
      </w:r>
    </w:p>
    <w:p>
      <w:pPr>
        <w:spacing w:after="0" w:line="212" w:lineRule="exact"/>
        <w:rPr>
          <w:sz w:val="20"/>
          <w:szCs w:val="20"/>
          <w:color w:val="auto"/>
        </w:rPr>
      </w:pPr>
    </w:p>
    <w:p>
      <w:pPr>
        <w:ind w:left="660" w:hanging="328"/>
        <w:spacing w:after="0" w:line="287"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Software</w:t>
      </w:r>
      <w:r>
        <w:rPr>
          <w:rFonts w:ascii="Times New Roman" w:cs="Times New Roman" w:eastAsia="Times New Roman" w:hAnsi="Times New Roman"/>
          <w:sz w:val="20"/>
          <w:szCs w:val="20"/>
          <w:color w:val="auto"/>
        </w:rPr>
        <w:t>. Our software business generates revenues from software licenses, software subscriptions and software maintenance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follows:</w:t>
      </w:r>
    </w:p>
    <w:p>
      <w:pPr>
        <w:spacing w:after="0" w:line="13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Software licenses</w:t>
      </w:r>
      <w:r>
        <w:rPr>
          <w:rFonts w:ascii="Times New Roman" w:cs="Times New Roman" w:eastAsia="Times New Roman" w:hAnsi="Times New Roman"/>
          <w:sz w:val="20"/>
          <w:szCs w:val="20"/>
          <w:color w:val="auto"/>
        </w:rPr>
        <w:t>: We recognize revenue for software license fees up front, upon delivery of the software license.</w:t>
      </w:r>
    </w:p>
    <w:p>
      <w:pPr>
        <w:spacing w:after="0" w:line="229" w:lineRule="exact"/>
        <w:rPr>
          <w:rFonts w:ascii="Times New Roman" w:cs="Times New Roman" w:eastAsia="Times New Roman" w:hAnsi="Times New Roman"/>
          <w:sz w:val="20"/>
          <w:szCs w:val="20"/>
          <w:color w:val="auto"/>
        </w:rPr>
      </w:pPr>
    </w:p>
    <w:p>
      <w:pPr>
        <w:jc w:val="both"/>
        <w:ind w:left="980" w:hanging="324"/>
        <w:spacing w:after="0" w:line="260" w:lineRule="auto"/>
        <w:tabs>
          <w:tab w:leader="none" w:pos="968"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Software subscription</w:t>
      </w:r>
      <w:r>
        <w:rPr>
          <w:rFonts w:ascii="Times New Roman" w:cs="Times New Roman" w:eastAsia="Times New Roman" w:hAnsi="Times New Roman"/>
          <w:sz w:val="20"/>
          <w:szCs w:val="20"/>
          <w:color w:val="auto"/>
        </w:rPr>
        <w:t>: Subscription revenue consists of subscription fees to provide our customers access to and related support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our cloud-based solutions. We recognize subscription fees ratably over the term of the subscription, usually one to three years. Any subscription revenue paid upfront that is not recognized in the current period is included in deferred revenue in our condensed consolidated balance sheet until earned.</w:t>
      </w:r>
    </w:p>
    <w:p>
      <w:pPr>
        <w:spacing w:after="0" w:line="164" w:lineRule="exact"/>
        <w:rPr>
          <w:rFonts w:ascii="Times New Roman" w:cs="Times New Roman" w:eastAsia="Times New Roman" w:hAnsi="Times New Roman"/>
          <w:sz w:val="20"/>
          <w:szCs w:val="20"/>
          <w:color w:val="auto"/>
        </w:rPr>
      </w:pPr>
    </w:p>
    <w:p>
      <w:pPr>
        <w:ind w:left="980" w:right="20" w:hanging="324"/>
        <w:spacing w:after="0" w:line="287" w:lineRule="auto"/>
        <w:tabs>
          <w:tab w:leader="none" w:pos="968"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Software maintenance</w:t>
      </w:r>
      <w:r>
        <w:rPr>
          <w:rFonts w:ascii="Times New Roman" w:cs="Times New Roman" w:eastAsia="Times New Roman" w:hAnsi="Times New Roman"/>
          <w:sz w:val="20"/>
          <w:szCs w:val="20"/>
          <w:color w:val="auto"/>
        </w:rPr>
        <w:t>: Software maintenance revenue includes fees for providing updates and technical support for software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offerings. Software maintenance revenue is recognized ratably over the contract term, usually one year.</w:t>
      </w:r>
    </w:p>
    <w:p>
      <w:pPr>
        <w:spacing w:after="0" w:line="138" w:lineRule="exact"/>
        <w:rPr>
          <w:rFonts w:ascii="Times New Roman" w:cs="Times New Roman" w:eastAsia="Times New Roman" w:hAnsi="Times New Roman"/>
          <w:sz w:val="20"/>
          <w:szCs w:val="20"/>
          <w:color w:val="auto"/>
        </w:rPr>
      </w:pPr>
    </w:p>
    <w:p>
      <w:pPr>
        <w:jc w:val="both"/>
        <w:ind w:left="660" w:hanging="328"/>
        <w:spacing w:after="0" w:line="260"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Services</w:t>
      </w:r>
      <w:r>
        <w:rPr>
          <w:rFonts w:ascii="Times New Roman" w:cs="Times New Roman" w:eastAsia="Times New Roman" w:hAnsi="Times New Roman"/>
          <w:sz w:val="20"/>
          <w:szCs w:val="20"/>
          <w:color w:val="auto"/>
        </w:rPr>
        <w:t>. Our services business generates revenues primarily from technology-driven services and professional services,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include software implementation services. Our service arrangements are time and materials, a fixed fee, or prepaid. Revenues are recognized over the time as services are performed for time and materials, and over time by estimating progress to completion for fixed fee and prepaid services.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Cost of Revenues</w:t>
      </w:r>
    </w:p>
    <w:p>
      <w:pPr>
        <w:spacing w:after="0" w:line="220"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Cost of revenues consists primarily of employee-related expenses, equity-based compensation, the costs of third-party subcontractors, travel costs, distributor fees, amortization of capitalized software, and allocated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6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overhead. We may add or expand computing infrastructure service providers, make additional investments in the availability and security of our solutions, or add resources to support our growth.</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p>
      <w:pPr>
        <w:spacing w:after="0" w:line="229" w:lineRule="exact"/>
        <w:rPr>
          <w:sz w:val="20"/>
          <w:szCs w:val="20"/>
          <w:color w:val="auto"/>
        </w:rPr>
      </w:pPr>
    </w:p>
    <w:p>
      <w:pPr>
        <w:jc w:val="both"/>
        <w:ind w:left="660" w:hanging="328"/>
        <w:spacing w:after="0" w:line="263"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Sales and Marketing</w:t>
      </w:r>
      <w:r>
        <w:rPr>
          <w:rFonts w:ascii="Times New Roman" w:cs="Times New Roman" w:eastAsia="Times New Roman" w:hAnsi="Times New Roman"/>
          <w:sz w:val="20"/>
          <w:szCs w:val="20"/>
          <w:color w:val="auto"/>
        </w:rPr>
        <w:t>. Sales and marketing expenses consist primarily of employee-related expenses, equity-based compensation,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sales commissions, brand development, advertising, travel-related expenses, and industry conferences and events. We plan to continue to invest in sales and marketing to increase penetration of our existing client base and expand to new clients.</w:t>
      </w:r>
    </w:p>
    <w:p>
      <w:pPr>
        <w:spacing w:after="0" w:line="202" w:lineRule="exact"/>
        <w:rPr>
          <w:rFonts w:ascii="Times New Roman" w:cs="Times New Roman" w:eastAsia="Times New Roman" w:hAnsi="Times New Roman"/>
          <w:sz w:val="20"/>
          <w:szCs w:val="20"/>
          <w:color w:val="auto"/>
        </w:rPr>
      </w:pPr>
    </w:p>
    <w:p>
      <w:pPr>
        <w:jc w:val="both"/>
        <w:ind w:left="660" w:hanging="328"/>
        <w:spacing w:after="0" w:line="242" w:lineRule="auto"/>
        <w:tabs>
          <w:tab w:leader="none" w:pos="648" w:val="left"/>
        </w:tabs>
        <w:numPr>
          <w:ilvl w:val="0"/>
          <w:numId w:val="1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Research and Development</w:t>
      </w:r>
      <w:r>
        <w:rPr>
          <w:rFonts w:ascii="Times New Roman" w:cs="Times New Roman" w:eastAsia="Times New Roman" w:hAnsi="Times New Roman"/>
          <w:sz w:val="20"/>
          <w:szCs w:val="20"/>
          <w:color w:val="auto"/>
        </w:rPr>
        <w:t>. R&amp;D expenses consist primarily of employee-related expenses, equity-based compensation, third-party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consulting, software costs, and tax credits. We plan to continue to invest in our R&amp;D efforts to enhance and scale our software product offerings by development of new features and increased functionality.</w:t>
      </w:r>
    </w:p>
    <w:p>
      <w:pPr>
        <w:spacing w:after="0" w:line="208" w:lineRule="exact"/>
        <w:rPr>
          <w:rFonts w:ascii="Times New Roman" w:cs="Times New Roman" w:eastAsia="Times New Roman" w:hAnsi="Times New Roman"/>
          <w:sz w:val="20"/>
          <w:szCs w:val="20"/>
          <w:b w:val="1"/>
          <w:bCs w:val="1"/>
          <w:i w:val="1"/>
          <w:iCs w:val="1"/>
          <w:color w:val="auto"/>
        </w:rPr>
      </w:pPr>
    </w:p>
    <w:p>
      <w:pPr>
        <w:jc w:val="both"/>
        <w:ind w:left="660" w:hanging="328"/>
        <w:spacing w:after="0" w:line="251"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20"/>
          <w:szCs w:val="20"/>
          <w:b w:val="1"/>
          <w:bCs w:val="1"/>
          <w:i w:val="1"/>
          <w:iCs w:val="1"/>
          <w:color w:val="auto"/>
        </w:rPr>
        <w:t>General and Administrative</w:t>
      </w:r>
      <w:r>
        <w:rPr>
          <w:rFonts w:ascii="Times New Roman" w:cs="Times New Roman" w:eastAsia="Times New Roman" w:hAnsi="Times New Roman"/>
          <w:sz w:val="20"/>
          <w:szCs w:val="20"/>
          <w:color w:val="auto"/>
        </w:rPr>
        <w:t>. General and administrative expenses ("G&amp;A") consist of personnel-related expenses associated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executive, legal, finance, human resources, information technology, and other administrative functions, including salaries, benefits, bonuses, and equity-based compensation. G&amp;A expenses also include professional fees for external legal, accounting and other consulting services, allocated overhead costs, and other general operating expenses.</w:t>
      </w:r>
    </w:p>
    <w:p>
      <w:pPr>
        <w:spacing w:after="0" w:line="174" w:lineRule="exact"/>
        <w:rPr>
          <w:rFonts w:ascii="Arial" w:cs="Arial" w:eastAsia="Arial" w:hAnsi="Arial"/>
          <w:sz w:val="22"/>
          <w:szCs w:val="22"/>
          <w:color w:val="auto"/>
        </w:rPr>
      </w:pPr>
    </w:p>
    <w:p>
      <w:pPr>
        <w:ind w:left="660" w:right="20" w:hanging="328"/>
        <w:spacing w:after="0" w:line="287"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Intangible Asset Amortization</w:t>
      </w:r>
      <w:r>
        <w:rPr>
          <w:rFonts w:ascii="Times New Roman" w:cs="Times New Roman" w:eastAsia="Times New Roman" w:hAnsi="Times New Roman"/>
          <w:sz w:val="20"/>
          <w:szCs w:val="20"/>
          <w:color w:val="auto"/>
        </w:rPr>
        <w:t>. Intangible asset amortization consists primarily of amortization expense related to intangible assets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recorded in connection with acquisitions and amortization of capitalized software development costs.</w:t>
      </w:r>
    </w:p>
    <w:p>
      <w:pPr>
        <w:spacing w:after="0" w:line="138" w:lineRule="exact"/>
        <w:rPr>
          <w:rFonts w:ascii="Times New Roman" w:cs="Times New Roman" w:eastAsia="Times New Roman" w:hAnsi="Times New Roman"/>
          <w:sz w:val="20"/>
          <w:szCs w:val="20"/>
          <w:color w:val="auto"/>
        </w:rPr>
      </w:pPr>
    </w:p>
    <w:p>
      <w:pPr>
        <w:ind w:left="660" w:hanging="328"/>
        <w:spacing w:after="0" w:line="287"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Depreciation and Amortization</w:t>
      </w:r>
      <w:r>
        <w:rPr>
          <w:rFonts w:ascii="Times New Roman" w:cs="Times New Roman" w:eastAsia="Times New Roman" w:hAnsi="Times New Roman"/>
          <w:sz w:val="20"/>
          <w:szCs w:val="20"/>
          <w:color w:val="auto"/>
        </w:rPr>
        <w:t>. Depreciation and amortization expenses consist of depreciation of property and equipment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amortization of leasehold improvements.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Expenses</w:t>
      </w:r>
    </w:p>
    <w:p>
      <w:pPr>
        <w:spacing w:after="0" w:line="216" w:lineRule="exact"/>
        <w:rPr>
          <w:sz w:val="20"/>
          <w:szCs w:val="20"/>
          <w:color w:val="auto"/>
        </w:rPr>
      </w:pPr>
    </w:p>
    <w:p>
      <w:pPr>
        <w:ind w:left="660" w:right="20" w:hanging="328"/>
        <w:spacing w:after="0" w:line="287"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Interest Expense</w:t>
      </w:r>
      <w:r>
        <w:rPr>
          <w:rFonts w:ascii="Times New Roman" w:cs="Times New Roman" w:eastAsia="Times New Roman" w:hAnsi="Times New Roman"/>
          <w:sz w:val="20"/>
          <w:szCs w:val="20"/>
          <w:color w:val="auto"/>
        </w:rPr>
        <w:t>. Interest expense consists primarily of interest expense associated with our Credit Agreement, including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amortization of debt issuance costs and discounts.</w:t>
      </w:r>
    </w:p>
    <w:p>
      <w:pPr>
        <w:spacing w:after="0" w:line="138" w:lineRule="exact"/>
        <w:rPr>
          <w:rFonts w:ascii="Times New Roman" w:cs="Times New Roman" w:eastAsia="Times New Roman" w:hAnsi="Times New Roman"/>
          <w:sz w:val="20"/>
          <w:szCs w:val="20"/>
          <w:color w:val="auto"/>
        </w:rPr>
      </w:pPr>
    </w:p>
    <w:p>
      <w:pPr>
        <w:ind w:left="660" w:hanging="328"/>
        <w:spacing w:after="0" w:line="287"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Net Other Income (Expense)</w:t>
      </w:r>
      <w:r>
        <w:rPr>
          <w:rFonts w:ascii="Times New Roman" w:cs="Times New Roman" w:eastAsia="Times New Roman" w:hAnsi="Times New Roman"/>
          <w:sz w:val="20"/>
          <w:szCs w:val="20"/>
          <w:color w:val="auto"/>
        </w:rPr>
        <w:t>. Net other income (expense) consists of miscellaneous non-operating expenses primarily comprised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interest income and foreign exchange transaction gains and losses.</w:t>
      </w:r>
    </w:p>
    <w:p>
      <w:pPr>
        <w:spacing w:after="0" w:line="151" w:lineRule="exact"/>
        <w:rPr>
          <w:rFonts w:ascii="Times New Roman" w:cs="Times New Roman" w:eastAsia="Times New Roman" w:hAnsi="Times New Roman"/>
          <w:sz w:val="20"/>
          <w:szCs w:val="20"/>
          <w:color w:val="auto"/>
        </w:rPr>
      </w:pPr>
    </w:p>
    <w:p>
      <w:pPr>
        <w:jc w:val="both"/>
        <w:ind w:left="660" w:hanging="328"/>
        <w:spacing w:after="0" w:line="263"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Provision for (Benefit from) Income Taxes</w:t>
      </w:r>
      <w:r>
        <w:rPr>
          <w:rFonts w:ascii="Times New Roman" w:cs="Times New Roman" w:eastAsia="Times New Roman" w:hAnsi="Times New Roman"/>
          <w:sz w:val="20"/>
          <w:szCs w:val="20"/>
          <w:color w:val="auto"/>
        </w:rPr>
        <w:t>. Provision for (benefit from) income taxes consists of U.S. federal and state income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taxes and income taxes in certain foreign jurisdictions in which we conduct business. We expect income tax expense to increase over time as the Company continues to grow more profitable.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Combinations or Divestiture</w:t>
      </w:r>
    </w:p>
    <w:p>
      <w:pPr>
        <w:spacing w:after="0" w:line="233" w:lineRule="exact"/>
        <w:rPr>
          <w:sz w:val="20"/>
          <w:szCs w:val="20"/>
          <w:color w:val="auto"/>
        </w:rPr>
      </w:pPr>
    </w:p>
    <w:p>
      <w:pPr>
        <w:jc w:val="both"/>
        <w:spacing w:after="0" w:line="241" w:lineRule="exact"/>
        <w:rPr>
          <w:sz w:val="20"/>
          <w:szCs w:val="20"/>
          <w:color w:val="auto"/>
        </w:rPr>
      </w:pPr>
      <w:r>
        <w:rPr>
          <w:rFonts w:ascii="Times New Roman" w:cs="Times New Roman" w:eastAsia="Times New Roman" w:hAnsi="Times New Roman"/>
          <w:sz w:val="20"/>
          <w:szCs w:val="20"/>
          <w:color w:val="auto"/>
        </w:rPr>
        <w:t>On May 8, 2026, we completed the sale of our global medical writing and related regulatory services business to Veristat, LLC for cash consideration of $85.0 million, as well as an additional $15.0 million placed in escrow, which would be released to the Company upon satisfaction of certain post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closing conditions. We are also eligible to receive cash earn-out of up to $35.0 million based on the financial performance of such business for a specified period following closing. Net proceeds from the transaction are expected to be used for general corporate purposes, including funding our ongoing operations. We expect the transaction to strengthen our focus on core operations and further our commitment to accelerating AI-integrated modeling and simulation across the entire drug development lifecycle.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6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In connection with the transaction, we entered into a transition services agreement pursuant to which we will provide certain services, including information technology and other administrative functions, for a defined period following closing.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have included the results of operations of acquired companies in our condensed consolidated results of operations from the date of their respective acquisitions, which impacts the comparability of our results of operations when comparing results for the three months ended March 31, 2026 to the three months ended March 31, 2025,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Three Months Ended March 31, 2026 Versus Three Months Ended March 31,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unaudited statements of operations data for the three months ended at March 31,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40" w:type="dxa"/>
            <w:vAlign w:val="bottom"/>
          </w:tcPr>
          <w:p>
            <w:pPr>
              <w:spacing w:after="0"/>
              <w:rPr>
                <w:sz w:val="19"/>
                <w:szCs w:val="19"/>
                <w:color w:val="auto"/>
              </w:rPr>
            </w:pPr>
          </w:p>
        </w:tc>
        <w:tc>
          <w:tcPr>
            <w:tcW w:w="380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Pr>
          <w:p>
            <w:pPr>
              <w:spacing w:after="0"/>
              <w:rPr>
                <w:sz w:val="19"/>
                <w:szCs w:val="19"/>
                <w:color w:val="auto"/>
              </w:rPr>
            </w:pPr>
          </w:p>
        </w:tc>
        <w:tc>
          <w:tcPr>
            <w:tcW w:w="1660" w:type="dxa"/>
            <w:vAlign w:val="bottom"/>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Pr>
          <w:p>
            <w:pPr>
              <w:spacing w:after="0"/>
              <w:rPr>
                <w:sz w:val="19"/>
                <w:szCs w:val="19"/>
                <w:color w:val="auto"/>
              </w:rPr>
            </w:pPr>
          </w:p>
        </w:tc>
      </w:tr>
      <w:tr>
        <w:trPr>
          <w:trHeight w:val="236"/>
        </w:trPr>
        <w:tc>
          <w:tcPr>
            <w:tcW w:w="434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64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60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4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87"/>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Software</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49,726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46,369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3,357</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7 %</w:t>
            </w:r>
          </w:p>
        </w:tc>
      </w:tr>
      <w:tr>
        <w:trPr>
          <w:trHeight w:val="263"/>
        </w:trPr>
        <w:tc>
          <w:tcPr>
            <w:tcW w:w="4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Services</w:t>
            </w:r>
          </w:p>
        </w:tc>
        <w:tc>
          <w:tcPr>
            <w:tcW w:w="10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57,189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59,635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34"/>
        </w:trPr>
        <w:tc>
          <w:tcPr>
            <w:tcW w:w="434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312"/>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revenues</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106,915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106,004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911</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Total revenues increased by $0.9 million, or 1%, to $106.9 million for the three months ended March 31, 2026 as compared to the same period in 2025. Overall revenue growth was primarily driven by our software product offerings, supported by strong demand from existing customers, expansion of relationships with existing customers and new customers.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Software revenues increased by $3.4 million, or 7%, to $49.7 million for the three months ended March 31, 2026 as compared to the same period in 2025, primarily driven by increased demand from existing customers, expanded relationships with existing customers, and new customers.</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Services revenues decreased by $2.4 million, or 4%, to $57.2 million for the three months ended March 31, 2026 as compared to the same period in 2025, primarily due to lower revenue from a previously acquired business.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00" w:type="dxa"/>
            <w:vAlign w:val="bottom"/>
          </w:tcPr>
          <w:p>
            <w:pPr>
              <w:spacing w:after="0"/>
              <w:rPr>
                <w:sz w:val="19"/>
                <w:szCs w:val="19"/>
                <w:color w:val="auto"/>
              </w:rPr>
            </w:pPr>
          </w:p>
        </w:tc>
        <w:tc>
          <w:tcPr>
            <w:tcW w:w="402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Pr>
          <w:p>
            <w:pPr>
              <w:spacing w:after="0"/>
              <w:rPr>
                <w:sz w:val="19"/>
                <w:szCs w:val="19"/>
                <w:color w:val="auto"/>
              </w:rPr>
            </w:pPr>
          </w:p>
        </w:tc>
        <w:tc>
          <w:tcPr>
            <w:tcW w:w="1620" w:type="dxa"/>
            <w:vAlign w:val="bottom"/>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Pr>
          <w:p>
            <w:pPr>
              <w:spacing w:after="0"/>
              <w:rPr>
                <w:sz w:val="19"/>
                <w:szCs w:val="19"/>
                <w:color w:val="auto"/>
              </w:rPr>
            </w:pPr>
          </w:p>
        </w:tc>
      </w:tr>
      <w:tr>
        <w:trPr>
          <w:trHeight w:val="237"/>
        </w:trPr>
        <w:tc>
          <w:tcPr>
            <w:tcW w:w="42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4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Cost of revenues</w:t>
            </w: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w w:val="94"/>
              </w:rPr>
              <w:t>41,618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20"/>
                <w:szCs w:val="20"/>
                <w:color w:val="auto"/>
              </w:rPr>
              <w:t>41,521</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63"/>
        </w:trPr>
        <w:tc>
          <w:tcPr>
            <w:tcW w:w="4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of total revenues</w:t>
            </w:r>
          </w:p>
        </w:tc>
        <w:tc>
          <w:tcPr>
            <w:tcW w:w="1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39 %</w:t>
            </w:r>
          </w:p>
        </w:tc>
        <w:tc>
          <w:tcPr>
            <w:tcW w:w="2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39 %</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r>
    </w:tbl>
    <w:p>
      <w:pPr>
        <w:spacing w:after="0" w:line="30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Cost of revenues increased $0.1 million, or 0%, to $41.6 million for the three months ended March 31, 2026 as compared to the same period in 2025, and remained essentially flat compared with the same quarter in the prior year.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 Expenses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00" w:type="dxa"/>
            <w:vAlign w:val="bottom"/>
          </w:tcPr>
          <w:p>
            <w:pPr>
              <w:spacing w:after="0"/>
              <w:rPr>
                <w:sz w:val="19"/>
                <w:szCs w:val="19"/>
                <w:color w:val="auto"/>
              </w:rPr>
            </w:pPr>
          </w:p>
        </w:tc>
        <w:tc>
          <w:tcPr>
            <w:tcW w:w="402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80" w:type="dxa"/>
            <w:vAlign w:val="bottom"/>
          </w:tcPr>
          <w:p>
            <w:pPr>
              <w:spacing w:after="0"/>
              <w:rPr>
                <w:sz w:val="19"/>
                <w:szCs w:val="19"/>
                <w:color w:val="auto"/>
              </w:rPr>
            </w:pPr>
          </w:p>
        </w:tc>
        <w:tc>
          <w:tcPr>
            <w:tcW w:w="164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Pr>
          <w:p>
            <w:pPr>
              <w:spacing w:after="0"/>
              <w:rPr>
                <w:sz w:val="19"/>
                <w:szCs w:val="19"/>
                <w:color w:val="auto"/>
              </w:rPr>
            </w:pPr>
          </w:p>
        </w:tc>
      </w:tr>
      <w:tr>
        <w:trPr>
          <w:trHeight w:val="236"/>
        </w:trPr>
        <w:tc>
          <w:tcPr>
            <w:tcW w:w="42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4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Sales and marketing</w:t>
            </w:r>
          </w:p>
        </w:tc>
        <w:tc>
          <w:tcPr>
            <w:tcW w:w="1120" w:type="dxa"/>
            <w:vAlign w:val="bottom"/>
            <w:tcBorders>
              <w:bottom w:val="single" w:sz="8" w:color="CCEEFF"/>
            </w:tcBorders>
            <w:shd w:val="clear" w:color="auto" w:fill="CCEEFF"/>
          </w:tcPr>
          <w:p>
            <w:pPr>
              <w:jc w:val="right"/>
              <w:ind w:right="933"/>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8"/>
              </w:rPr>
              <w:t>13,355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20"/>
                <w:szCs w:val="20"/>
                <w:color w:val="auto"/>
              </w:rPr>
              <w:t>12,717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638</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5 %</w:t>
            </w:r>
          </w:p>
        </w:tc>
      </w:tr>
      <w:tr>
        <w:trPr>
          <w:trHeight w:val="263"/>
        </w:trPr>
        <w:tc>
          <w:tcPr>
            <w:tcW w:w="4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of total revenues</w:t>
            </w:r>
          </w:p>
        </w:tc>
        <w:tc>
          <w:tcPr>
            <w:tcW w:w="1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2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r>
    </w:tbl>
    <w:p>
      <w:pPr>
        <w:spacing w:after="0" w:line="3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Sales and marketing expenses increased by $0.6 million, or 5%, to $13.4 million for the three months ended March 31, 2026 as compared to the same period in 2025. Sales and marketing expenses increased primarily due to a $0.3 million increase in employee-related costs, a $0.2 million increase in stock-based compensation costs, a $0.2 million increase in marketing expense, and a $0.2 million increase in travel expense, partially offset by a $0.1million decrease in professional and consulting expense and a $0.1 million decrease in other miscellaneous expense.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00" w:type="dxa"/>
            <w:vAlign w:val="bottom"/>
          </w:tcPr>
          <w:p>
            <w:pPr>
              <w:spacing w:after="0"/>
              <w:rPr>
                <w:sz w:val="19"/>
                <w:szCs w:val="19"/>
                <w:color w:val="auto"/>
              </w:rPr>
            </w:pPr>
          </w:p>
        </w:tc>
        <w:tc>
          <w:tcPr>
            <w:tcW w:w="402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80" w:type="dxa"/>
            <w:vAlign w:val="bottom"/>
          </w:tcPr>
          <w:p>
            <w:pPr>
              <w:spacing w:after="0"/>
              <w:rPr>
                <w:sz w:val="19"/>
                <w:szCs w:val="19"/>
                <w:color w:val="auto"/>
              </w:rPr>
            </w:pPr>
          </w:p>
        </w:tc>
        <w:tc>
          <w:tcPr>
            <w:tcW w:w="164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Pr>
          <w:p>
            <w:pPr>
              <w:spacing w:after="0"/>
              <w:rPr>
                <w:sz w:val="19"/>
                <w:szCs w:val="19"/>
                <w:color w:val="auto"/>
              </w:rPr>
            </w:pPr>
          </w:p>
        </w:tc>
      </w:tr>
      <w:tr>
        <w:trPr>
          <w:trHeight w:val="237"/>
        </w:trPr>
        <w:tc>
          <w:tcPr>
            <w:tcW w:w="42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4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8"/>
              </w:rPr>
              <w:t>12,286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20"/>
                <w:szCs w:val="20"/>
                <w:color w:val="auto"/>
              </w:rPr>
              <w:t>10,522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1,764</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17 %</w:t>
            </w:r>
          </w:p>
        </w:tc>
      </w:tr>
      <w:tr>
        <w:trPr>
          <w:trHeight w:val="263"/>
        </w:trPr>
        <w:tc>
          <w:tcPr>
            <w:tcW w:w="4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of total revenues</w:t>
            </w:r>
          </w:p>
        </w:tc>
        <w:tc>
          <w:tcPr>
            <w:tcW w:w="1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2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r>
    </w:tbl>
    <w:p>
      <w:pPr>
        <w:spacing w:after="0" w:line="3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Research and development expenses increased by $1.8 million, or 17%, to $12.3 million for the three months ended March 31, 2026 as compared to the same period in 2025. The increase in research and development expenses was primarily due to a $2.2 million increase in employee-related costs mainly resulting from head count growth associated with investments in software development, including AI integration across our product portfolio, a $0.2 million increase in professional and consulting expense, a $0.2 million increase in miscellaneous expense, and a $0.1 million increase in stock-based compensation costs, partially offset by a $1.1 million increase in capitalized cost in R&amp;D.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00" w:type="dxa"/>
            <w:vAlign w:val="bottom"/>
          </w:tcPr>
          <w:p>
            <w:pPr>
              <w:spacing w:after="0"/>
              <w:rPr>
                <w:sz w:val="19"/>
                <w:szCs w:val="19"/>
                <w:color w:val="auto"/>
              </w:rPr>
            </w:pPr>
          </w:p>
        </w:tc>
        <w:tc>
          <w:tcPr>
            <w:tcW w:w="402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80" w:type="dxa"/>
            <w:vAlign w:val="bottom"/>
          </w:tcPr>
          <w:p>
            <w:pPr>
              <w:spacing w:after="0"/>
              <w:rPr>
                <w:sz w:val="19"/>
                <w:szCs w:val="19"/>
                <w:color w:val="auto"/>
              </w:rPr>
            </w:pPr>
          </w:p>
        </w:tc>
        <w:tc>
          <w:tcPr>
            <w:tcW w:w="164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Pr>
          <w:p>
            <w:pPr>
              <w:spacing w:after="0"/>
              <w:rPr>
                <w:sz w:val="19"/>
                <w:szCs w:val="19"/>
                <w:color w:val="auto"/>
              </w:rPr>
            </w:pPr>
          </w:p>
        </w:tc>
      </w:tr>
      <w:tr>
        <w:trPr>
          <w:trHeight w:val="237"/>
        </w:trPr>
        <w:tc>
          <w:tcPr>
            <w:tcW w:w="42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4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8"/>
              </w:rPr>
              <w:t>29,377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20"/>
                <w:szCs w:val="20"/>
                <w:color w:val="auto"/>
              </w:rPr>
              <w:t>19,654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9,723</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49 %</w:t>
            </w:r>
          </w:p>
        </w:tc>
      </w:tr>
      <w:tr>
        <w:trPr>
          <w:trHeight w:val="263"/>
        </w:trPr>
        <w:tc>
          <w:tcPr>
            <w:tcW w:w="4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of total revenues</w:t>
            </w:r>
          </w:p>
        </w:tc>
        <w:tc>
          <w:tcPr>
            <w:tcW w:w="1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27 %</w:t>
            </w:r>
          </w:p>
        </w:tc>
        <w:tc>
          <w:tcPr>
            <w:tcW w:w="2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r>
    </w:tbl>
    <w:p>
      <w:pPr>
        <w:spacing w:after="0" w:line="3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General and administrative expenses increased by $9.7 million, or 49%, to $29.4 million for the three months ended March 31, 2026 as compared to the same period in 2025. The increase in general and administrative expenses was primarily due to a $7.4 million increase in business acquisition contingent consideration expense, a $1.0 million increase in equipment and software expense, a $0.9 million increase in executive recruiting and retention expenses, a $0.8 million increase in lease abandonment expense, primarily due to the absence of a non-recurring gain recognized in the prior year that reduced expenses in that period, and a $0.5 million increase in professional and consulting expense, partially offset by a $0.5 million decrease in merger and acquisition expense and a $0.3 million aggregate decrease in license costs and facility lease related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and Amortization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00" w:type="dxa"/>
            <w:vAlign w:val="bottom"/>
          </w:tcPr>
          <w:p>
            <w:pPr>
              <w:spacing w:after="0"/>
              <w:rPr>
                <w:sz w:val="19"/>
                <w:szCs w:val="19"/>
                <w:color w:val="auto"/>
              </w:rPr>
            </w:pPr>
          </w:p>
        </w:tc>
        <w:tc>
          <w:tcPr>
            <w:tcW w:w="402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80" w:type="dxa"/>
            <w:vAlign w:val="bottom"/>
          </w:tcPr>
          <w:p>
            <w:pPr>
              <w:spacing w:after="0"/>
              <w:rPr>
                <w:sz w:val="19"/>
                <w:szCs w:val="19"/>
                <w:color w:val="auto"/>
              </w:rPr>
            </w:pPr>
          </w:p>
        </w:tc>
        <w:tc>
          <w:tcPr>
            <w:tcW w:w="164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Pr>
          <w:p>
            <w:pPr>
              <w:spacing w:after="0"/>
              <w:rPr>
                <w:sz w:val="19"/>
                <w:szCs w:val="19"/>
                <w:color w:val="auto"/>
              </w:rPr>
            </w:pPr>
          </w:p>
        </w:tc>
      </w:tr>
      <w:tr>
        <w:trPr>
          <w:trHeight w:val="237"/>
        </w:trPr>
        <w:tc>
          <w:tcPr>
            <w:tcW w:w="42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4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0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8"/>
              </w:rPr>
              <w:t>14,582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20"/>
                <w:szCs w:val="20"/>
                <w:color w:val="auto"/>
              </w:rPr>
              <w:t>13,967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615</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4 %</w:t>
            </w:r>
          </w:p>
        </w:tc>
      </w:tr>
      <w:tr>
        <w:trPr>
          <w:trHeight w:val="263"/>
        </w:trPr>
        <w:tc>
          <w:tcPr>
            <w:tcW w:w="4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of total revenues</w:t>
            </w:r>
          </w:p>
        </w:tc>
        <w:tc>
          <w:tcPr>
            <w:tcW w:w="1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2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r>
    </w:tbl>
    <w:p>
      <w:pPr>
        <w:spacing w:after="0" w:line="3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Depreciation and amortization expense increased by $0.6 million, or 4%, to $14.6 million for the three months ended March 31, 2026 as compared to the same period in 2025. The increase in depreciation and amortization expense was primarily due to a $0.8 million net increase in amortization of intangible assets, primarily related to a $0.9 million increase in amortization of capitalized software. In addition, depreciation expense for fixed assets decreased $0.2 million, primarily due to a $0.2 million decrease in depreciation of computer equipment.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00" w:type="dxa"/>
            <w:vAlign w:val="bottom"/>
          </w:tcPr>
          <w:p>
            <w:pPr>
              <w:spacing w:after="0"/>
              <w:rPr>
                <w:sz w:val="19"/>
                <w:szCs w:val="19"/>
                <w:color w:val="auto"/>
              </w:rPr>
            </w:pPr>
          </w:p>
        </w:tc>
        <w:tc>
          <w:tcPr>
            <w:tcW w:w="402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80" w:type="dxa"/>
            <w:vAlign w:val="bottom"/>
          </w:tcPr>
          <w:p>
            <w:pPr>
              <w:spacing w:after="0"/>
              <w:rPr>
                <w:sz w:val="19"/>
                <w:szCs w:val="19"/>
                <w:color w:val="auto"/>
              </w:rPr>
            </w:pPr>
          </w:p>
        </w:tc>
        <w:tc>
          <w:tcPr>
            <w:tcW w:w="164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Pr>
          <w:p>
            <w:pPr>
              <w:spacing w:after="0"/>
              <w:rPr>
                <w:sz w:val="19"/>
                <w:szCs w:val="19"/>
                <w:color w:val="auto"/>
              </w:rPr>
            </w:pPr>
          </w:p>
        </w:tc>
      </w:tr>
      <w:tr>
        <w:trPr>
          <w:trHeight w:val="237"/>
        </w:trPr>
        <w:tc>
          <w:tcPr>
            <w:tcW w:w="420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3"/>
        </w:trPr>
        <w:tc>
          <w:tcPr>
            <w:tcW w:w="4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4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expense</w:t>
            </w:r>
          </w:p>
        </w:tc>
        <w:tc>
          <w:tcPr>
            <w:tcW w:w="1180" w:type="dxa"/>
            <w:vAlign w:val="bottom"/>
            <w:tcBorders>
              <w:bottom w:val="single" w:sz="8" w:color="CCEEFF"/>
            </w:tcBorders>
            <w:shd w:val="clear" w:color="auto" w:fill="CCEEFF"/>
          </w:tcPr>
          <w:p>
            <w:pPr>
              <w:jc w:val="right"/>
              <w:ind w:right="973"/>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4,941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20"/>
                <w:szCs w:val="20"/>
                <w:color w:val="auto"/>
              </w:rPr>
              <w:t>4,806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3 %</w:t>
            </w:r>
          </w:p>
        </w:tc>
      </w:tr>
      <w:tr>
        <w:trPr>
          <w:trHeight w:val="263"/>
        </w:trPr>
        <w:tc>
          <w:tcPr>
            <w:tcW w:w="4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of total revenues</w:t>
            </w:r>
          </w:p>
        </w:tc>
        <w:tc>
          <w:tcPr>
            <w:tcW w:w="1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5 %</w:t>
            </w:r>
          </w:p>
        </w:tc>
        <w:tc>
          <w:tcPr>
            <w:tcW w:w="24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r>
    </w:tbl>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Interest expense increased by $0.1 million, or 3%, to $4.9 million for the three months ended March 31, 2026, as compared to the same period in 2025. The change in interest expense was primarily due to a $0.9 million decrease in gain from our interest swap hedge activities, partially offset by a $0.7 million decrease in interest expense from our floating rate term loan debt, primarily due to a decline in market interest rates and a reduced base margin rate resulting from the refinancing of the term loan.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Other Income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80" w:type="dxa"/>
            <w:vAlign w:val="bottom"/>
          </w:tcPr>
          <w:p>
            <w:pPr>
              <w:spacing w:after="0"/>
              <w:rPr>
                <w:sz w:val="19"/>
                <w:szCs w:val="19"/>
                <w:color w:val="auto"/>
              </w:rPr>
            </w:pPr>
          </w:p>
        </w:tc>
        <w:tc>
          <w:tcPr>
            <w:tcW w:w="402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80" w:type="dxa"/>
            <w:vAlign w:val="bottom"/>
          </w:tcPr>
          <w:p>
            <w:pPr>
              <w:spacing w:after="0"/>
              <w:rPr>
                <w:sz w:val="19"/>
                <w:szCs w:val="19"/>
                <w:color w:val="auto"/>
              </w:rPr>
            </w:pPr>
          </w:p>
        </w:tc>
        <w:tc>
          <w:tcPr>
            <w:tcW w:w="164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tcPr>
          <w:p>
            <w:pPr>
              <w:spacing w:after="0"/>
              <w:rPr>
                <w:sz w:val="19"/>
                <w:szCs w:val="19"/>
                <w:color w:val="auto"/>
              </w:rPr>
            </w:pPr>
          </w:p>
        </w:tc>
      </w:tr>
      <w:tr>
        <w:trPr>
          <w:trHeight w:val="236"/>
        </w:trPr>
        <w:tc>
          <w:tcPr>
            <w:tcW w:w="41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3"/>
        </w:trPr>
        <w:tc>
          <w:tcPr>
            <w:tcW w:w="4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4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7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other (income) expense</w:t>
            </w: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(1,301)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20"/>
                <w:szCs w:val="20"/>
                <w:color w:val="auto"/>
              </w:rPr>
              <w:t>(1,725)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63"/>
        </w:trPr>
        <w:tc>
          <w:tcPr>
            <w:tcW w:w="4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of total revenues</w:t>
            </w:r>
          </w:p>
        </w:tc>
        <w:tc>
          <w:tcPr>
            <w:tcW w:w="1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r>
    </w:tbl>
    <w:p>
      <w:pPr>
        <w:spacing w:after="0" w:line="3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Net other income decreased by $0.4 million to $1.3 million for the three months ended March 31, 2026 as compared to the same period in 2025. The decrease in net other income was primarily due to a $0.5 million decrease in interest income, partially offset by a $0.1 million increase in gain from remeasurement related to the fluctuation of the foreign currency rate.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(Benefits) from Income Taxes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80" w:type="dxa"/>
            <w:vAlign w:val="bottom"/>
          </w:tcPr>
          <w:p>
            <w:pPr>
              <w:spacing w:after="0"/>
              <w:rPr>
                <w:sz w:val="19"/>
                <w:szCs w:val="19"/>
                <w:color w:val="auto"/>
              </w:rPr>
            </w:pPr>
          </w:p>
        </w:tc>
        <w:tc>
          <w:tcPr>
            <w:tcW w:w="404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Pr>
          <w:p>
            <w:pPr>
              <w:spacing w:after="0"/>
              <w:rPr>
                <w:sz w:val="19"/>
                <w:szCs w:val="19"/>
                <w:color w:val="auto"/>
              </w:rPr>
            </w:pPr>
          </w:p>
        </w:tc>
        <w:tc>
          <w:tcPr>
            <w:tcW w:w="1580" w:type="dxa"/>
            <w:vAlign w:val="bottom"/>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Pr>
          <w:p>
            <w:pPr>
              <w:spacing w:after="0"/>
              <w:rPr>
                <w:sz w:val="19"/>
                <w:szCs w:val="19"/>
                <w:color w:val="auto"/>
              </w:rPr>
            </w:pPr>
          </w:p>
        </w:tc>
      </w:tr>
      <w:tr>
        <w:trPr>
          <w:trHeight w:val="236"/>
        </w:trPr>
        <w:tc>
          <w:tcPr>
            <w:tcW w:w="428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4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0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Provision (Benefits) from Income Taxes</w:t>
            </w:r>
          </w:p>
        </w:tc>
        <w:tc>
          <w:tcPr>
            <w:tcW w:w="1260" w:type="dxa"/>
            <w:vAlign w:val="bottom"/>
            <w:tcBorders>
              <w:bottom w:val="single" w:sz="8" w:color="CCEEFF"/>
            </w:tcBorders>
            <w:shd w:val="clear" w:color="auto" w:fill="CCEEFF"/>
          </w:tcPr>
          <w:p>
            <w:pPr>
              <w:jc w:val="right"/>
              <w:ind w:right="1053"/>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820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20"/>
                <w:szCs w:val="20"/>
                <w:color w:val="auto"/>
              </w:rPr>
              <w:t>(201)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63"/>
        </w:trPr>
        <w:tc>
          <w:tcPr>
            <w:tcW w:w="4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Effective income tax rate</w:t>
            </w:r>
          </w:p>
        </w:tc>
        <w:tc>
          <w:tcPr>
            <w:tcW w:w="1260" w:type="dxa"/>
            <w:vAlign w:val="bottom"/>
          </w:tcPr>
          <w:p>
            <w:pPr>
              <w:spacing w:after="0"/>
              <w:rPr>
                <w:sz w:val="22"/>
                <w:szCs w:val="2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w:t>
            </w:r>
          </w:p>
        </w:tc>
        <w:tc>
          <w:tcPr>
            <w:tcW w:w="2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3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Our income tax expense was $0.8 million, resulting in an effective income tax rate of (10)% for the three months ended March 31, 2026 as compared to income tax benefit of $0.2 million, or an effective income tax rate of (4)%, for the same period in 2025. Our income tax expense for the three months ended March 31, 2026 and 2025 was primarily due to the tax effects of U.S. pre-tax income (loss), the relative mix of domestic and international earnings, the impact of non-deductible items, adjustments to the valuation allowances, the effects of tax elections made for U.K. earnings, and discrete tax items.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(Loss)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0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Pr>
          <w:p>
            <w:pPr>
              <w:spacing w:after="0"/>
              <w:rPr>
                <w:sz w:val="19"/>
                <w:szCs w:val="19"/>
                <w:color w:val="auto"/>
              </w:rPr>
            </w:pPr>
          </w:p>
        </w:tc>
        <w:tc>
          <w:tcPr>
            <w:tcW w:w="170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Pr>
          <w:p>
            <w:pPr>
              <w:spacing w:after="0"/>
              <w:rPr>
                <w:sz w:val="19"/>
                <w:szCs w:val="19"/>
                <w:color w:val="auto"/>
              </w:rPr>
            </w:pPr>
          </w:p>
        </w:tc>
      </w:tr>
      <w:tr>
        <w:trPr>
          <w:trHeight w:val="236"/>
        </w:trPr>
        <w:tc>
          <w:tcPr>
            <w:tcW w:w="43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6"/>
        </w:trPr>
        <w:tc>
          <w:tcPr>
            <w:tcW w:w="4600" w:type="dxa"/>
            <w:vAlign w:val="bottom"/>
            <w:gridSpan w:val="2"/>
            <w:shd w:val="clear" w:color="auto" w:fill="CCEEFF"/>
          </w:tcPr>
          <w:p>
            <w:pPr>
              <w:jc w:val="right"/>
              <w:ind w:right="3160"/>
              <w:spacing w:after="0"/>
              <w:rPr>
                <w:sz w:val="20"/>
                <w:szCs w:val="20"/>
                <w:color w:val="auto"/>
              </w:rPr>
            </w:pPr>
            <w:r>
              <w:rPr>
                <w:rFonts w:ascii="Times New Roman" w:cs="Times New Roman" w:eastAsia="Times New Roman" w:hAnsi="Times New Roman"/>
                <w:sz w:val="20"/>
                <w:szCs w:val="20"/>
                <w:color w:val="auto"/>
                <w:w w:val="99"/>
              </w:rPr>
              <w:t>Net income (loss)</w:t>
            </w:r>
          </w:p>
        </w:tc>
        <w:tc>
          <w:tcPr>
            <w:tcW w:w="15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58"/>
        </w:trPr>
        <w:tc>
          <w:tcPr>
            <w:tcW w:w="4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(8,763)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4,743</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(13,506)</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(285)%</w:t>
            </w:r>
          </w:p>
        </w:tc>
      </w:tr>
      <w:tr>
        <w:trPr>
          <w:trHeight w:val="35"/>
        </w:trPr>
        <w:tc>
          <w:tcPr>
            <w:tcW w:w="43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bl>
    <w:p>
      <w:pPr>
        <w:spacing w:after="0" w:line="2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Net loss was $8.8 million, representing a $13.5 million decrease in net income for the three months ended March 31, 2026 as compared to a net income of $4.7 million for the same period of 2025. The decrease in net income was primarily due to a $12.7 million increase in operating expenses, a $1.0 million increase in tax expense, and a $0.6 million increase in total other expense, partially offset by a $0.9 million increase in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consistently generated positive cash flow from operations, providing $11.7 million and $17.4 million as a source of funds for the three months ended March 31, 2026 and 2025, respectively. Our additional liquidity comes from several sources: maintaining adequate balances of cash and cash equivalents, issuing common stock, and accessing credit facilities and revolving lines of credit. The following table provides a summary of the major sources of liquidity for the three- and 12-month periods ended at March 31, 2026 and December 31, 2025 and as of March 31, 2026 and December 31, 2025.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40" w:type="dxa"/>
            <w:vAlign w:val="bottom"/>
          </w:tcPr>
          <w:p>
            <w:pPr>
              <w:spacing w:after="0"/>
              <w:rPr>
                <w:sz w:val="17"/>
                <w:szCs w:val="17"/>
                <w:color w:val="auto"/>
              </w:rPr>
            </w:pPr>
          </w:p>
        </w:tc>
        <w:tc>
          <w:tcPr>
            <w:tcW w:w="1580" w:type="dxa"/>
            <w:vAlign w:val="bottom"/>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4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gridSpan w:val="3"/>
          </w:tcPr>
          <w:p>
            <w:pPr>
              <w:spacing w:after="0"/>
              <w:rPr>
                <w:sz w:val="3"/>
                <w:szCs w:val="3"/>
                <w:color w:val="auto"/>
              </w:rPr>
            </w:pPr>
          </w:p>
        </w:tc>
      </w:tr>
      <w:tr>
        <w:trPr>
          <w:trHeight w:val="186"/>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20" w:type="dxa"/>
            <w:vAlign w:val="bottom"/>
            <w:gridSpan w:val="3"/>
          </w:tcPr>
          <w:p>
            <w:pPr>
              <w:jc w:val="right"/>
              <w:ind w:right="113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7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9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cash from operating activities</w:t>
            </w:r>
            <w:r>
              <w:rPr>
                <w:rFonts w:ascii="Times New Roman" w:cs="Times New Roman" w:eastAsia="Times New Roman" w:hAnsi="Times New Roman"/>
                <w:sz w:val="25"/>
                <w:szCs w:val="25"/>
                <w:color w:val="auto"/>
                <w:vertAlign w:val="superscript"/>
              </w:rPr>
              <w:t>(a)</w:t>
            </w: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11,694</w:t>
            </w:r>
          </w:p>
        </w:tc>
        <w:tc>
          <w:tcPr>
            <w:tcW w:w="3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96,325</w:t>
            </w:r>
          </w:p>
        </w:tc>
      </w:tr>
      <w:tr>
        <w:trPr>
          <w:trHeight w:val="297"/>
        </w:trPr>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Cash and cash equivalents</w:t>
            </w:r>
            <w:r>
              <w:rPr>
                <w:rFonts w:ascii="Times New Roman" w:cs="Times New Roman" w:eastAsia="Times New Roman" w:hAnsi="Times New Roman"/>
                <w:sz w:val="25"/>
                <w:szCs w:val="25"/>
                <w:color w:val="auto"/>
                <w:vertAlign w:val="superscript"/>
              </w:rPr>
              <w:t>(b)</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149,484</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189,392</w:t>
            </w:r>
          </w:p>
        </w:tc>
      </w:tr>
      <w:tr>
        <w:trPr>
          <w:trHeight w:val="277"/>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Term loan credit facilities</w:t>
            </w: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294,769</w:t>
            </w:r>
          </w:p>
        </w:tc>
        <w:tc>
          <w:tcPr>
            <w:tcW w:w="3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295,509</w:t>
            </w:r>
          </w:p>
        </w:tc>
      </w:tr>
      <w:tr>
        <w:trPr>
          <w:trHeight w:val="263"/>
        </w:trPr>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Revolving line of credit</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r>
    </w:tbl>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w:t>
      </w:r>
    </w:p>
    <w:p>
      <w:pPr>
        <w:spacing w:after="0" w:line="172" w:lineRule="exact"/>
        <w:rPr>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cash from operating activities for the three months ended March 31, 2026 and twelve months ended December 31, 2025.</w:t>
      </w:r>
    </w:p>
    <w:p>
      <w:pPr>
        <w:spacing w:after="0" w:line="127" w:lineRule="exact"/>
        <w:rPr>
          <w:sz w:val="20"/>
          <w:szCs w:val="20"/>
          <w:color w:val="auto"/>
        </w:rPr>
      </w:pPr>
    </w:p>
    <w:p>
      <w:pPr>
        <w:jc w:val="both"/>
        <w:ind w:left="340" w:hanging="323"/>
        <w:spacing w:after="0" w:line="280" w:lineRule="auto"/>
        <w:tabs>
          <w:tab w:leader="none" w:pos="320" w:val="left"/>
        </w:tabs>
        <w:rPr>
          <w:sz w:val="20"/>
          <w:szCs w:val="20"/>
          <w:color w:val="auto"/>
        </w:rPr>
      </w:pPr>
      <w:r>
        <w:rPr>
          <w:rFonts w:ascii="Times New Roman" w:cs="Times New Roman" w:eastAsia="Times New Roman" w:hAnsi="Times New Roman"/>
          <w:sz w:val="16"/>
          <w:szCs w:val="16"/>
          <w:color w:val="auto"/>
        </w:rPr>
        <w:t>(b)</w:t>
        <w:tab/>
        <w:t>Cash balances as of March 31, 2026 and December 31, 2025 included $78.9 million and $76.2 million in cash and cash equivalents, respectively, held outside of the United States.</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On April 11, 2025, our Board of Directors approved a stock repurchase program authorizing the Company to repurchase up to $100.0 million of its common stock. For the three months ended March 31, 2026, we repurchased 5,814,484 shares of our common stock for an aggregate purchase price and fees of $40.0 million under the authorized share repurchase program. These repurchases resulted in an increase in treasury stock and reduced weighted-average diluted shares outstanding, As of March 31, 2026, approximately $17.4 million remained available under the Company's existing share repurchase authorization program.</w:t>
      </w:r>
    </w:p>
    <w:p>
      <w:pPr>
        <w:spacing w:after="0" w:line="173"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20"/>
          <w:szCs w:val="20"/>
          <w:color w:val="auto"/>
        </w:rPr>
        <w:t>Our other material cash requirements from known contractual obligations are principal and interest payments on long term debt. We also have future cash obligations of $14.2 million for lease contracts, which have remaining terms of one to nine years.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principal amount of long-term debt outstanding as of March 31, 2026 matures in the following years: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Remainder of 2026</w:t>
            </w:r>
          </w:p>
        </w:tc>
        <w:tc>
          <w:tcPr>
            <w:tcW w:w="360" w:type="dxa"/>
            <w:vAlign w:val="bottom"/>
          </w:tcPr>
          <w:p>
            <w:pPr>
              <w:spacing w:after="0"/>
              <w:rPr>
                <w:sz w:val="16"/>
                <w:szCs w:val="16"/>
                <w:color w:val="auto"/>
              </w:rPr>
            </w:pPr>
          </w:p>
        </w:tc>
        <w:tc>
          <w:tcPr>
            <w:tcW w:w="9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6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2028</w:t>
            </w:r>
          </w:p>
        </w:tc>
        <w:tc>
          <w:tcPr>
            <w:tcW w:w="200" w:type="dxa"/>
            <w:vAlign w:val="bottom"/>
          </w:tcPr>
          <w:p>
            <w:pPr>
              <w:spacing w:after="0"/>
              <w:rPr>
                <w:sz w:val="16"/>
                <w:szCs w:val="16"/>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2029</w:t>
            </w:r>
          </w:p>
        </w:tc>
        <w:tc>
          <w:tcPr>
            <w:tcW w:w="360" w:type="dxa"/>
            <w:vAlign w:val="bottom"/>
          </w:tcPr>
          <w:p>
            <w:pPr>
              <w:spacing w:after="0"/>
              <w:rPr>
                <w:sz w:val="16"/>
                <w:szCs w:val="16"/>
                <w:color w:val="auto"/>
              </w:rPr>
            </w:pPr>
          </w:p>
        </w:tc>
        <w:tc>
          <w:tcPr>
            <w:tcW w:w="9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2030</w:t>
            </w:r>
          </w:p>
        </w:tc>
        <w:tc>
          <w:tcPr>
            <w:tcW w:w="260" w:type="dxa"/>
            <w:vAlign w:val="bottom"/>
          </w:tcPr>
          <w:p>
            <w:pPr>
              <w:spacing w:after="0"/>
              <w:rPr>
                <w:sz w:val="16"/>
                <w:szCs w:val="16"/>
                <w:color w:val="auto"/>
              </w:rPr>
            </w:pPr>
          </w:p>
        </w:tc>
        <w:tc>
          <w:tcPr>
            <w:tcW w:w="10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300" w:type="dxa"/>
            <w:vAlign w:val="bottom"/>
          </w:tcPr>
          <w:p>
            <w:pPr>
              <w:spacing w:after="0"/>
              <w:rPr>
                <w:sz w:val="16"/>
                <w:szCs w:val="16"/>
                <w:color w:val="auto"/>
              </w:rPr>
            </w:pP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0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6"/>
        </w:trPr>
        <w:tc>
          <w:tcPr>
            <w:tcW w:w="20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(in thousands)</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w:t>
            </w: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2,963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2,963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280,695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294,769</w:t>
            </w:r>
          </w:p>
        </w:tc>
      </w:tr>
    </w:tbl>
    <w:p>
      <w:pPr>
        <w:spacing w:after="0" w:line="3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assess our liquidity in terms of our ability to generate adequate amounts of cash to meet current and future needs. We believe our existing sources of liquidity will be sufficient to meet our working capital, capital expenditures, and contractual obligations for the foreseeable future. Our expected primary uses on a short-term and long-term basis are for repayment of debt, interest payments, working capital, capital expenditures, geographic or service offering expansion, acquisitions, investments, common stock repurchase and other general corporate purposes. We believe we will meet short-term and long-term expected future cash requirements and obligations through a combination of cash flows from operating activities, available cash balances, and potential future equity or debt transactions.</w:t>
      </w:r>
    </w:p>
    <w:p>
      <w:pPr>
        <w:spacing w:after="0" w:line="17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Our future capital requirements, however, will depend on many factors, including funding for potential acquisitions, investments, common stock repurchase, and other growth and strategic opportunities, which could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increase our cash requirements. While we believe we have, and will be able to generate, sufficient liquidity to fund our operations for the foreseeable future, our sources of liquidity could be affected by factors described under “Risk Factors” in our 2025 Annual Report.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a summary of our cash flows for the periods shown:</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3360" w:type="dxa"/>
            <w:vAlign w:val="bottom"/>
            <w:gridSpan w:val="5"/>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78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78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8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7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6"/>
                <w:szCs w:val="16"/>
                <w:color w:val="auto"/>
              </w:rPr>
            </w:pPr>
          </w:p>
        </w:tc>
      </w:tr>
      <w:tr>
        <w:trPr>
          <w:trHeight w:val="37"/>
        </w:trPr>
        <w:tc>
          <w:tcPr>
            <w:tcW w:w="7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17,352</w:t>
            </w: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w:t>
            </w:r>
          </w:p>
        </w:tc>
      </w:tr>
      <w:tr>
        <w:trPr>
          <w:trHeight w:val="27"/>
        </w:trPr>
        <w:tc>
          <w:tcPr>
            <w:tcW w:w="7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(43,741)</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r>
      <w:tr>
        <w:trPr>
          <w:trHeight w:val="27"/>
        </w:trPr>
        <w:tc>
          <w:tcPr>
            <w:tcW w:w="78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7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(39,908)</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7"/>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980" w:type="dxa"/>
            <w:vAlign w:val="bottom"/>
            <w:tcBorders>
              <w:top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8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w:t>
            </w:r>
          </w:p>
        </w:tc>
      </w:tr>
      <w:tr>
        <w:trPr>
          <w:trHeight w:val="27"/>
        </w:trPr>
        <w:tc>
          <w:tcPr>
            <w:tcW w:w="7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7"/>
        </w:trPr>
        <w:tc>
          <w:tcPr>
            <w:tcW w:w="78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cash flows from operating activities primarily include net income adjusted for (i) non-cash items included in net income, such as provisions (recoveries) for credit losses, depreciation and amortization, stock-based compensation, deferred taxes, and other non-cash items and (ii) changes in the balances of operating assets and liabilities. Net cash provided by operating activities in the first three months of 2026 was $11.7 million, compared to $17.4 million in the same period of 2025. The $5.7 million decrease in cash from operating activities was primarily driven by lower cash-adjusted net income, an increase in cash used for prepaid and other assets and a decrease in cash collected on accounts receivable, partially offset by lower cash outflows to settle liabilities and increased cash inflows from deferred revenues.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Net cash used in investing activities in the first three months of 2026 was $6.8 million, an increase of $1.0 million, compared to $5.8 million in the same period of 2025. The change in investing activities was primarily due to a $1.0 million increase in cash utilized in capitalized software development costs to support our growth.</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Net cash used in financing activities in the first three months of 2026 was $43.7 million, compared to $14.0 million in the same period of 2025. The $29.7 million increase in cash used in financing activities was primarily due to a $40.0 million increase in cash used in connection with repurchasing the Company's common stock, partially offset by a $10.2 million decrease in cash payments related to contingent consideration for business acquisitions.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Indebtedness</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been a party to the Credit Agreement since August 2017 that provides for a senior secured term loan (the “Term Loan”) and commitments under a revolving credit facility (the “Revolving Facility”). The Credit Agreement has been amended several times. Most recently, on October 16, 2025, we entered into the Sixth Amendment to the Credit Agreement to refinance our existing debt. Following the refinancing, as of October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6" w:name="page47"/>
    <w:bookmarkEnd w:id="46"/>
    <w:p>
      <w:pPr>
        <w:spacing w:after="0" w:line="16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16, 2025, the Term Loan had an aggregate principal amount of $296.3 million and matures on June 26, 2031. We also maintain a $100.0 million revolving credit facility under the Credit Agreement, which matures on June 26, 2029.</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Borrowings under the Credit Agreement bear interest at a rate per annum equal to, at the election of the borrowers, either (i) the Term Secured Overnight Financing Rate (“SOFR”) rate, with a floor of 0.00% plus an applicable margin rate of 2.75% for the Term Loans and between 3.50% and 2.75% for loan under the Revolving Facility, depending on the applicable first lien leverage ratio, or (ii) an Alternate Base Rate (“ABR”), with a floor of 1.00%, plus an applicable margin rate of 1.75% for the Term Loan or between 2.50% and 1.75% for loan under the Revolving Facility, depending on the applicable first lien leverage ratio. The ABR is determined as the greatest of (a) the prime rate, (b) the federal funds effective rate, plus 0.50%, and (c) the Term SOFR rate plus 1.00%. Additionally, the Company is obligated to pay a commitment fee of the unused amount and other customary fees.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All obligations under the Credit Agreement are unconditionally guaranteed by our wholly owned direct and indirect subsidiaries, subject to certain exceptions. All obligations under the Credit Agreement, and the guarantees of those obligations, are secured on a first lien basis, subject to certain exceptions, by substantially all of our assets and the assets of the other guarantors. As of March 31, 2026, we were in compliance with the covenants of the Credit Agreement.</w:t>
      </w:r>
    </w:p>
    <w:p>
      <w:pPr>
        <w:spacing w:after="0" w:line="18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March 31, 2026, we had $294.8 million of outstanding borrowings on the Term Loan, and $100.0 million of availability under the revolving credit facility under the Credit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Contractual Obligations and Commercial Commitments</w:t>
      </w:r>
    </w:p>
    <w:p>
      <w:pPr>
        <w:spacing w:after="0" w:line="20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There have been no material changes to our contractual obligations during the three months ended March 31, 2026 from those disclosed in our 2025 Annual Report, except for payments made in the ordinary course of business.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2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We recorded income tax expense of $0.8 million for the three months ended March 31, 2026 and income tax benefit of $0.2 million for the three months ended March 31, 2025.</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As of March 31, 2026, we had federal and state NOLs of approximately $4.2 million and $3.5 million, respectively, which are available to reduce future taxable income, some of which expire between 2035 and 2036 and 2030 and 2041, respectively. We had federal and state R&amp;D tax credit carryforwards of approximately $0.1 million and $0.02 million, respectively, to offset future income taxes, which expire between 2027 and 2040. We also had foreign tax credits of approximately $14.6 million, which will start to expire in 2027. These carryforwards that may be utilized in a future period may be subject to limitations based upon changes in the ownership of our stock in a future period. Additionally, we carried forward foreign NOLs of approximately $87.3 million which will start to expire in 2026, foreign research and development credits of $0.2 million which expire in 2029, and Canadian investment tax credits of approximately $5.2 million which expire between 2034 and 2044. Our carryforwards are subject to review and possible adjustment by the appropriate taxing authorities.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required by Accounting Standards Codification (‘‘ASC’’) Topic 740, Income Taxes, our management has evaluated the positive and negative evidence bearing upon the realizability of our deferred tax assets, which are composed principally of NOL carryforwards, Section 174 carryforwards, investment tax credit carryforward, and foreign tax credit carryforwards. Management has determined that it is more likely than not that we will not realize the benefits of foreign tax credit carryforwards. At the foreign subsidiaries, management has determined that it is more likely than not that we will not realize the benefits of certain NOL carryforwards. As a result, a</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6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valuation allowance of $29 million is recorded at December 31, 2025. As of March 31, 2026, the valuation allowance remained unchanged from December 31, 2025.</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During the periods presented, we did not have, and currently do not have, any off-balance sheet arrangements, as defined under the rules and regulations of the SEC, that have, or are reasonably likely to have, a material effect on our current or future financial condition, results of operations, liquidity, capital expenditures, or capital resources.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accounting policies are more fully described in Note 2 - “Summary of Significant Accounting Policies,” in our audited consolidated financial statements included in our 2025 Annual Report. 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We monitor estimates and assumptions on a continuous basis and update these estimates and assumptions as facts and circumstances change and new information is obtained. Actual results could differ materially from those estimates and assumptions. We discussed the accounting policies that we believe are most critical to the portrayal of our results of operations and financial condition and require management’s most difficult, subjective, and complex judgments in Part II, Item 7, “Management’s Discussion and Analysis of Financial Condition and Results of Operations,” in our 2025 Annual Report. There were no significant changes to our critical accounting estimates during the three months ended March 31, 2026.</w:t>
      </w:r>
    </w:p>
    <w:p>
      <w:pPr>
        <w:spacing w:after="0" w:line="17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Recently Adopted and Issued Accounting Standards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have reviewed all recently issued standards and have determined that, other than as disclosed in Note 2 - “Summary of Significant Accounting Policies” to our condensed consolidated financial statements appearing elsewhere in this Quarterly Report, such standards will not have a material impact on our condensed consolidated financial statements or do not otherwise apply to our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information regarding our exposure to certain market risks, see “Quantitative and Qualitative Disclosures about Market Risk,” in Part II, Item 7A of the Company’s 2025 Annual Report. There were no material changes to the Company’s market risk exposure during the three months ended March 31,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8" w:name="page49"/>
    <w:bookmarkEnd w:id="48"/>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March 31, 2026.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During the three months period ended March 31, 2026, there were no changes in our internal control over financial reporting (as defined in Exchange Act Rules 13a-15(f))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29"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20"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0"/>
          <w:szCs w:val="20"/>
          <w:color w:val="auto"/>
        </w:rPr>
        <w:t>There have been no material changes to our legal proceedings as previously disclosed in our 2025 Annual Report.</w:t>
      </w:r>
    </w:p>
    <w:p>
      <w:pPr>
        <w:spacing w:after="0" w:line="225"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20"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0"/>
          <w:szCs w:val="20"/>
          <w:color w:val="auto"/>
        </w:rPr>
        <w:t>There are no material changes from any of the risk factors previously disclosed in our 2025 Annual Report .</w:t>
      </w:r>
    </w:p>
    <w:p>
      <w:pPr>
        <w:spacing w:after="0" w:line="225"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74"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0"/>
          <w:szCs w:val="20"/>
          <w:color w:val="auto"/>
        </w:rPr>
        <w:t>The following table illustrates the activities of equity security repurchases during the three months ended at March 31, 2026.</w:t>
      </w:r>
    </w:p>
    <w:p>
      <w:pPr>
        <w:spacing w:after="0" w:line="27" w:lineRule="exact"/>
        <w:rPr>
          <w:sz w:val="20"/>
          <w:szCs w:val="20"/>
          <w:color w:val="auto"/>
        </w:rPr>
      </w:pPr>
    </w:p>
    <w:tbl>
      <w:tblPr>
        <w:tblLayout w:type="fixed"/>
        <w:tblInd w:w="73"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Number of Shares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Average Price Paid per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8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Approximate Dollar</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880" w:type="dxa"/>
            <w:vAlign w:val="bottom"/>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Purchased (a)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color w:val="auto"/>
                <w:w w:val="99"/>
              </w:rPr>
              <w:t>Share(b)</w:t>
            </w:r>
          </w:p>
        </w:tc>
        <w:tc>
          <w:tcPr>
            <w:tcW w:w="18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Purchased As Part of</w:t>
            </w:r>
          </w:p>
        </w:tc>
        <w:tc>
          <w:tcPr>
            <w:tcW w:w="8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Value of Shares That</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Publicly Announced</w:t>
            </w:r>
          </w:p>
        </w:tc>
        <w:tc>
          <w:tcPr>
            <w:tcW w:w="8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May Yet be Purchased</w:t>
            </w:r>
          </w:p>
        </w:tc>
        <w:tc>
          <w:tcPr>
            <w:tcW w:w="0" w:type="dxa"/>
            <w:vAlign w:val="bottom"/>
          </w:tcPr>
          <w:p>
            <w:pPr>
              <w:spacing w:after="0"/>
              <w:rPr>
                <w:sz w:val="1"/>
                <w:szCs w:val="1"/>
                <w:color w:val="auto"/>
              </w:rPr>
            </w:pPr>
          </w:p>
        </w:tc>
      </w:tr>
      <w:tr>
        <w:trPr>
          <w:trHeight w:val="202"/>
        </w:trPr>
        <w:tc>
          <w:tcPr>
            <w:tcW w:w="3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Plans or Programs (a)</w:t>
            </w:r>
          </w:p>
        </w:tc>
        <w:tc>
          <w:tcPr>
            <w:tcW w:w="8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Under the Plans or</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Programs (a)</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1/1/2026 to 1/31/2026</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8"/>
              </w:rPr>
              <w:t>$57.4 Million</w:t>
            </w:r>
          </w:p>
        </w:tc>
        <w:tc>
          <w:tcPr>
            <w:tcW w:w="0" w:type="dxa"/>
            <w:vAlign w:val="bottom"/>
          </w:tcPr>
          <w:p>
            <w:pPr>
              <w:spacing w:after="0"/>
              <w:rPr>
                <w:sz w:val="1"/>
                <w:szCs w:val="1"/>
                <w:color w:val="auto"/>
              </w:rPr>
            </w:pP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2/1/2026 to 2/28/2026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348,835</w:t>
            </w:r>
          </w:p>
        </w:tc>
        <w:tc>
          <w:tcPr>
            <w:tcW w:w="80" w:type="dxa"/>
            <w:vAlign w:val="bottom"/>
          </w:tcPr>
          <w:p>
            <w:pPr>
              <w:spacing w:after="0"/>
              <w:rPr>
                <w:sz w:val="20"/>
                <w:szCs w:val="20"/>
                <w:color w:val="auto"/>
              </w:rPr>
            </w:pPr>
          </w:p>
        </w:tc>
        <w:tc>
          <w:tcPr>
            <w:tcW w:w="19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8"/>
              </w:rPr>
              <w:t>$54.9 Million</w:t>
            </w:r>
          </w:p>
        </w:tc>
        <w:tc>
          <w:tcPr>
            <w:tcW w:w="0" w:type="dxa"/>
            <w:vAlign w:val="bottom"/>
          </w:tcPr>
          <w:p>
            <w:pPr>
              <w:spacing w:after="0"/>
              <w:rPr>
                <w:sz w:val="1"/>
                <w:szCs w:val="1"/>
                <w:color w:val="auto"/>
              </w:rPr>
            </w:pPr>
          </w:p>
        </w:tc>
      </w:tr>
      <w:tr>
        <w:trPr>
          <w:trHeight w:val="22"/>
        </w:trPr>
        <w:tc>
          <w:tcPr>
            <w:tcW w:w="3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3/1/2026 to 3/31/2026</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5,465,649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5,465,649</w:t>
            </w:r>
          </w:p>
        </w:tc>
        <w:tc>
          <w:tcPr>
            <w:tcW w:w="8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8"/>
              </w:rPr>
              <w:t>$17.4 Million</w:t>
            </w:r>
          </w:p>
        </w:tc>
        <w:tc>
          <w:tcPr>
            <w:tcW w:w="0" w:type="dxa"/>
            <w:vAlign w:val="bottom"/>
          </w:tcPr>
          <w:p>
            <w:pPr>
              <w:spacing w:after="0"/>
              <w:rPr>
                <w:sz w:val="1"/>
                <w:szCs w:val="1"/>
                <w:color w:val="auto"/>
              </w:rPr>
            </w:pPr>
          </w:p>
        </w:tc>
      </w:tr>
      <w:tr>
        <w:trPr>
          <w:trHeight w:val="228"/>
        </w:trPr>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5,814,484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5,814,484</w:t>
            </w:r>
          </w:p>
        </w:tc>
        <w:tc>
          <w:tcPr>
            <w:tcW w:w="80" w:type="dxa"/>
            <w:vAlign w:val="bottom"/>
          </w:tcPr>
          <w:p>
            <w:pPr>
              <w:spacing w:after="0"/>
              <w:rPr>
                <w:sz w:val="19"/>
                <w:szCs w:val="19"/>
                <w:color w:val="auto"/>
              </w:rPr>
            </w:pPr>
          </w:p>
        </w:tc>
        <w:tc>
          <w:tcPr>
            <w:tcW w:w="190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8"/>
              </w:rPr>
              <w:t>$17.4 Million</w:t>
            </w:r>
          </w:p>
        </w:tc>
        <w:tc>
          <w:tcPr>
            <w:tcW w:w="0" w:type="dxa"/>
            <w:vAlign w:val="bottom"/>
          </w:tcPr>
          <w:p>
            <w:pPr>
              <w:spacing w:after="0"/>
              <w:rPr>
                <w:sz w:val="1"/>
                <w:szCs w:val="1"/>
                <w:color w:val="auto"/>
              </w:rPr>
            </w:pPr>
          </w:p>
        </w:tc>
      </w:tr>
      <w:tr>
        <w:trPr>
          <w:trHeight w:val="22"/>
        </w:trPr>
        <w:tc>
          <w:tcPr>
            <w:tcW w:w="3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__________________________________</w:t>
            </w: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440" w:type="dxa"/>
            <w:vAlign w:val="bottom"/>
            <w:vMerge w:val="continue"/>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4"/>
        </w:trPr>
        <w:tc>
          <w:tcPr>
            <w:tcW w:w="344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413" w:hanging="413"/>
        <w:spacing w:after="0" w:line="258" w:lineRule="auto"/>
        <w:tabs>
          <w:tab w:leader="none" w:pos="40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11, 2025, our Board of Directors approved a stock repurchase program authorizing the Company to repurchase up to $100 million of its common stock. Under this program, the Company may repurchase shares from time to time, depending on market conditions and alternate uses of capital. The timing and actual number of shares repurchased will depend on a variety of factors, including price, general business and market conditions and alternate uses of capital. The share repurchase program may be effected through Rule 10b5-1 plans, open market purchases, each in compliance with Rule 10b-18 under the Exchange Act, or privately negotiated transactions. The program may be suspended or discontinued at any time and does not have an expiration date. During the three months ended March 31, 2026, the Company repurchased 5,814,484 shares of its common stock at an average price of $6.86 per share, as part of the stock repurchase program authorized on April 11, 2025.</w:t>
      </w:r>
    </w:p>
    <w:p>
      <w:pPr>
        <w:spacing w:after="0" w:line="379" w:lineRule="exact"/>
        <w:rPr>
          <w:rFonts w:ascii="Times New Roman" w:cs="Times New Roman" w:eastAsia="Times New Roman" w:hAnsi="Times New Roman"/>
          <w:sz w:val="16"/>
          <w:szCs w:val="16"/>
          <w:color w:val="auto"/>
        </w:rPr>
      </w:pPr>
    </w:p>
    <w:p>
      <w:pPr>
        <w:ind w:left="413" w:hanging="413"/>
        <w:spacing w:after="0" w:line="298" w:lineRule="auto"/>
        <w:tabs>
          <w:tab w:leader="none" w:pos="413"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net share repurchases are subject to a 1% excise tax under the Inflation Reduction Act. This excise tax is included in the cost of shares repurchased, as reflected in the condensed consolidated statement of stockholders’ equity. The repurchases above do not include the excise tax.</w:t>
      </w:r>
    </w:p>
    <w:p>
      <w:pPr>
        <w:spacing w:after="0" w:line="381"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33"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3"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32" w:lineRule="exact"/>
        <w:rPr>
          <w:sz w:val="20"/>
          <w:szCs w:val="20"/>
          <w:color w:val="auto"/>
        </w:rPr>
      </w:pPr>
    </w:p>
    <w:p>
      <w:pPr>
        <w:ind w:left="73"/>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Trading Plans</w:t>
      </w:r>
    </w:p>
    <w:p>
      <w:pPr>
        <w:sectPr>
          <w:pgSz w:w="11900" w:h="16838" w:orient="portrait"/>
          <w:cols w:equalWidth="0" w:num="1">
            <w:col w:w="11313"/>
          </w:cols>
          <w:pgMar w:left="247"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69850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3"/>
          </w:cols>
          <w:pgMar w:left="247" w:top="1440" w:right="339" w:bottom="1440" w:gutter="0" w:footer="0" w:header="0"/>
          <w:type w:val="continuous"/>
        </w:sectPr>
      </w:pPr>
    </w:p>
    <w:bookmarkStart w:id="50" w:name="page51"/>
    <w:bookmarkEnd w:id="50"/>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Our directors and officers may adopt written plans, known as Rule 10b5-1 plans, in which they will contract with a broker to buy or sell our common stock on a periodic basis. Under a Rule 10b5-1 plan, a broker executes trades pursuant to parameters established by the director or officer when entering into the plan, without further direction from them.</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three months ended March 31, 2026, none of our directors or officers (as defined in Rule 16a-1(f) of the Exchange Act) adopted or terminated a Rule 10b5-1 trading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Exhibit Index.</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3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20" w:type="dxa"/>
            <w:vAlign w:val="bottom"/>
          </w:tcPr>
          <w:p>
            <w:pPr>
              <w:spacing w:after="0"/>
              <w:rPr>
                <w:sz w:val="20"/>
                <w:szCs w:val="20"/>
                <w:color w:val="auto"/>
              </w:rPr>
            </w:pPr>
          </w:p>
        </w:tc>
      </w:tr>
      <w:tr>
        <w:trPr>
          <w:trHeight w:val="27"/>
        </w:trPr>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4"/>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38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194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7"/>
        </w:trPr>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5829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Borders>
              <w:bottom w:val="single" w:sz="8" w:color="0000FF"/>
            </w:tcBorders>
            <w:gridSpan w:val="8"/>
          </w:tcPr>
          <w:p>
            <w:pPr>
              <w:ind w:left="20"/>
              <w:spacing w:after="0"/>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Agreement and Plan of Merger dated as of August 2, 2021, by and</w:t>
              </w:r>
            </w:hyperlink>
          </w:p>
        </w:tc>
        <w:tc>
          <w:tcPr>
            <w:tcW w:w="280" w:type="dxa"/>
            <w:vAlign w:val="bottom"/>
            <w:gridSpan w:val="2"/>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5080" w:type="dxa"/>
            <w:vAlign w:val="bottom"/>
            <w:gridSpan w:val="10"/>
          </w:tcPr>
          <w:p>
            <w:pPr>
              <w:ind w:left="20"/>
              <w:spacing w:after="0" w:line="19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among Certara, Inc., Puma Merger Sub, LLC and Shareholder</w:t>
              </w:r>
            </w:hyperlink>
          </w:p>
        </w:tc>
        <w:tc>
          <w:tcPr>
            <w:tcW w:w="1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080" w:type="dxa"/>
            <w:vAlign w:val="bottom"/>
            <w:gridSpan w:val="10"/>
          </w:tcPr>
          <w:p>
            <w:pPr>
              <w:ind w:left="20"/>
              <w:spacing w:after="0" w:line="19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Representative Services LLC, as the Equityholder Representative</w:t>
              </w:r>
            </w:hyperlink>
          </w:p>
        </w:tc>
        <w:tc>
          <w:tcPr>
            <w:tcW w:w="1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780" w:type="dxa"/>
            <w:vAlign w:val="bottom"/>
            <w:tcBorders>
              <w:top w:val="single" w:sz="8" w:color="0000FF"/>
              <w:bottom w:val="single" w:sz="8" w:color="0000FF"/>
            </w:tcBorders>
          </w:tcPr>
          <w:p>
            <w:pPr>
              <w:ind w:left="20"/>
              <w:spacing w:after="0" w:line="196" w:lineRule="exact"/>
              <w:rPr>
                <w:rFonts w:ascii="Times New Roman" w:cs="Times New Roman" w:eastAsia="Times New Roman" w:hAnsi="Times New Roman"/>
                <w:sz w:val="18"/>
                <w:szCs w:val="18"/>
                <w:color w:val="0000FF"/>
                <w:w w:val="96"/>
              </w:rPr>
            </w:pPr>
            <w:hyperlink r:id="rId76">
              <w:r>
                <w:rPr>
                  <w:rFonts w:ascii="Times New Roman" w:cs="Times New Roman" w:eastAsia="Times New Roman" w:hAnsi="Times New Roman"/>
                  <w:sz w:val="18"/>
                  <w:szCs w:val="18"/>
                  <w:color w:val="0000FF"/>
                  <w:w w:val="96"/>
                </w:rPr>
                <w:t>thereunder</w:t>
              </w:r>
            </w:hyperlink>
          </w:p>
        </w:tc>
        <w:tc>
          <w:tcPr>
            <w:tcW w:w="3940" w:type="dxa"/>
            <w:vAlign w:val="bottom"/>
            <w:tcBorders>
              <w:top w:val="single" w:sz="8" w:color="0000FF"/>
            </w:tcBorders>
            <w:gridSpan w:val="6"/>
          </w:tcPr>
          <w:p>
            <w:pPr>
              <w:spacing w:after="0"/>
              <w:rPr>
                <w:sz w:val="17"/>
                <w:szCs w:val="17"/>
                <w:color w:val="auto"/>
              </w:rPr>
            </w:pPr>
          </w:p>
        </w:tc>
        <w:tc>
          <w:tcPr>
            <w:tcW w:w="360" w:type="dxa"/>
            <w:vAlign w:val="bottom"/>
            <w:gridSpan w:val="3"/>
          </w:tcPr>
          <w:p>
            <w:pPr>
              <w:spacing w:after="0"/>
              <w:rPr>
                <w:sz w:val="17"/>
                <w:szCs w:val="17"/>
                <w:color w:val="auto"/>
              </w:rPr>
            </w:pPr>
          </w:p>
        </w:tc>
        <w:tc>
          <w:tcPr>
            <w:tcW w:w="1180" w:type="dxa"/>
            <w:vAlign w:val="bottom"/>
          </w:tcPr>
          <w:p>
            <w:pPr>
              <w:jc w:val="center"/>
              <w:ind w:left="270"/>
              <w:spacing w:after="0" w:line="196" w:lineRule="exact"/>
              <w:rPr>
                <w:sz w:val="20"/>
                <w:szCs w:val="20"/>
                <w:color w:val="auto"/>
              </w:rPr>
            </w:pPr>
            <w:r>
              <w:rPr>
                <w:rFonts w:ascii="Times New Roman" w:cs="Times New Roman" w:eastAsia="Times New Roman" w:hAnsi="Times New Roman"/>
                <w:sz w:val="18"/>
                <w:szCs w:val="18"/>
                <w:color w:val="auto"/>
              </w:rPr>
              <w:t>8 - K</w:t>
            </w:r>
          </w:p>
        </w:tc>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001-39799</w:t>
            </w:r>
          </w:p>
        </w:tc>
        <w:tc>
          <w:tcPr>
            <w:tcW w:w="84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1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8/05/2021</w:t>
            </w:r>
          </w:p>
        </w:tc>
      </w:tr>
      <w:tr>
        <w:trPr>
          <w:trHeight w:val="250"/>
        </w:trPr>
        <w:tc>
          <w:tcPr>
            <w:tcW w:w="4840" w:type="dxa"/>
            <w:vAlign w:val="bottom"/>
            <w:tcBorders>
              <w:bottom w:val="single" w:sz="8" w:color="0000FF"/>
            </w:tcBorders>
            <w:gridSpan w:val="9"/>
          </w:tcPr>
          <w:p>
            <w:pPr>
              <w:ind w:left="20"/>
              <w:spacing w:after="0"/>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Amended and Restated Certificate of Incorporation of Certara, Inc.</w:t>
              </w:r>
            </w:hyperlink>
          </w:p>
        </w:tc>
        <w:tc>
          <w:tcPr>
            <w:tcW w:w="240" w:type="dxa"/>
            <w:vAlign w:val="bottom"/>
          </w:tcPr>
          <w:p>
            <w:pPr>
              <w:spacing w:after="0"/>
              <w:rPr>
                <w:sz w:val="21"/>
                <w:szCs w:val="21"/>
                <w:color w:val="auto"/>
              </w:rPr>
            </w:pPr>
          </w:p>
        </w:tc>
        <w:tc>
          <w:tcPr>
            <w:tcW w:w="11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S-8</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333-251368</w:t>
            </w: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12/15/2020</w:t>
            </w:r>
          </w:p>
        </w:tc>
      </w:tr>
      <w:tr>
        <w:trPr>
          <w:trHeight w:val="250"/>
        </w:trPr>
        <w:tc>
          <w:tcPr>
            <w:tcW w:w="4680" w:type="dxa"/>
            <w:vAlign w:val="bottom"/>
            <w:tcBorders>
              <w:bottom w:val="single" w:sz="8" w:color="0000FF"/>
            </w:tcBorders>
            <w:gridSpan w:val="6"/>
          </w:tcPr>
          <w:p>
            <w:pPr>
              <w:ind w:left="20"/>
              <w:spacing w:after="0"/>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Certificate of Correction to Amended and Restated Certificate of</w:t>
              </w:r>
            </w:hyperlink>
          </w:p>
        </w:tc>
        <w:tc>
          <w:tcPr>
            <w:tcW w:w="400" w:type="dxa"/>
            <w:vAlign w:val="bottom"/>
            <w:gridSpan w:val="4"/>
          </w:tcPr>
          <w:p>
            <w:pPr>
              <w:spacing w:after="0"/>
              <w:rPr>
                <w:sz w:val="21"/>
                <w:szCs w:val="21"/>
                <w:color w:val="auto"/>
              </w:rPr>
            </w:pPr>
          </w:p>
        </w:tc>
        <w:tc>
          <w:tcPr>
            <w:tcW w:w="1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96"/>
        </w:trPr>
        <w:tc>
          <w:tcPr>
            <w:tcW w:w="5080" w:type="dxa"/>
            <w:vAlign w:val="bottom"/>
            <w:gridSpan w:val="10"/>
          </w:tcPr>
          <w:p>
            <w:pPr>
              <w:ind w:left="20"/>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Incorporation of Certara, Inc.</w:t>
              </w:r>
            </w:hyperlink>
          </w:p>
        </w:tc>
        <w:tc>
          <w:tcPr>
            <w:tcW w:w="1180" w:type="dxa"/>
            <w:vAlign w:val="bottom"/>
          </w:tcPr>
          <w:p>
            <w:pPr>
              <w:jc w:val="center"/>
              <w:ind w:left="27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001-39799</w:t>
            </w:r>
          </w:p>
        </w:tc>
        <w:tc>
          <w:tcPr>
            <w:tcW w:w="84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12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2/26/2025</w:t>
            </w:r>
          </w:p>
        </w:tc>
      </w:tr>
      <w:tr>
        <w:trPr>
          <w:trHeight w:val="20"/>
        </w:trPr>
        <w:tc>
          <w:tcPr>
            <w:tcW w:w="21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3980" w:type="dxa"/>
            <w:vAlign w:val="bottom"/>
            <w:tcBorders>
              <w:bottom w:val="single" w:sz="8" w:color="0000FF"/>
            </w:tcBorders>
            <w:gridSpan w:val="4"/>
          </w:tcPr>
          <w:p>
            <w:pPr>
              <w:ind w:left="20"/>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Second Amended and Restated Bylaws of Certara, Inc.</w:t>
              </w:r>
            </w:hyperlink>
          </w:p>
        </w:tc>
        <w:tc>
          <w:tcPr>
            <w:tcW w:w="1100" w:type="dxa"/>
            <w:vAlign w:val="bottom"/>
            <w:gridSpan w:val="6"/>
          </w:tcPr>
          <w:p>
            <w:pPr>
              <w:spacing w:after="0"/>
              <w:rPr>
                <w:sz w:val="21"/>
                <w:szCs w:val="21"/>
                <w:color w:val="auto"/>
              </w:rPr>
            </w:pPr>
          </w:p>
        </w:tc>
        <w:tc>
          <w:tcPr>
            <w:tcW w:w="11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001-39799</w:t>
            </w: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8/6/2025</w:t>
            </w:r>
          </w:p>
        </w:tc>
      </w:tr>
      <w:tr>
        <w:trPr>
          <w:trHeight w:val="250"/>
        </w:trPr>
        <w:tc>
          <w:tcPr>
            <w:tcW w:w="508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302 of</w:t>
            </w:r>
          </w:p>
        </w:tc>
        <w:tc>
          <w:tcPr>
            <w:tcW w:w="1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96"/>
        </w:trPr>
        <w:tc>
          <w:tcPr>
            <w:tcW w:w="508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-753745</wp:posOffset>
            </wp:positionV>
            <wp:extent cx="7132320" cy="308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-273685</wp:posOffset>
            </wp:positionV>
            <wp:extent cx="7132320" cy="308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700" w:space="720"/>
            <w:col w:w="98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504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w:t>
            </w:r>
          </w:p>
        </w:tc>
        <w:tc>
          <w:tcPr>
            <w:tcW w:w="4780" w:type="dxa"/>
            <w:vAlign w:val="bottom"/>
            <w:gridSpan w:val="2"/>
          </w:tcPr>
          <w:p>
            <w:pPr>
              <w:spacing w:after="0"/>
              <w:rPr>
                <w:sz w:val="18"/>
                <w:szCs w:val="18"/>
                <w:color w:val="auto"/>
              </w:rPr>
            </w:pPr>
          </w:p>
        </w:tc>
      </w:tr>
      <w:tr>
        <w:trPr>
          <w:trHeight w:val="196"/>
        </w:trPr>
        <w:tc>
          <w:tcPr>
            <w:tcW w:w="1420" w:type="dxa"/>
            <w:vAlign w:val="bottom"/>
          </w:tcPr>
          <w:p>
            <w:pPr>
              <w:spacing w:after="0"/>
              <w:rPr>
                <w:sz w:val="17"/>
                <w:szCs w:val="17"/>
                <w:color w:val="auto"/>
              </w:rPr>
            </w:pPr>
          </w:p>
        </w:tc>
        <w:tc>
          <w:tcPr>
            <w:tcW w:w="982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r>
      <w:tr>
        <w:trPr>
          <w:trHeight w:val="48"/>
        </w:trPr>
        <w:tc>
          <w:tcPr>
            <w:tcW w:w="1420" w:type="dxa"/>
            <w:vAlign w:val="bottom"/>
          </w:tcPr>
          <w:p>
            <w:pPr>
              <w:spacing w:after="0"/>
              <w:rPr>
                <w:sz w:val="4"/>
                <w:szCs w:val="4"/>
                <w:color w:val="auto"/>
              </w:rPr>
            </w:pPr>
          </w:p>
        </w:tc>
        <w:tc>
          <w:tcPr>
            <w:tcW w:w="23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740" w:type="dxa"/>
            <w:vAlign w:val="bottom"/>
          </w:tcPr>
          <w:p>
            <w:pPr>
              <w:spacing w:after="0"/>
              <w:rPr>
                <w:sz w:val="4"/>
                <w:szCs w:val="4"/>
                <w:color w:val="auto"/>
              </w:rPr>
            </w:pPr>
          </w:p>
        </w:tc>
      </w:tr>
      <w:tr>
        <w:trPr>
          <w:trHeight w:val="203"/>
        </w:trPr>
        <w:tc>
          <w:tcPr>
            <w:tcW w:w="14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9820" w:type="dxa"/>
            <w:vAlign w:val="bottom"/>
            <w:gridSpan w:val="5"/>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w:t>
            </w:r>
          </w:p>
        </w:tc>
      </w:tr>
      <w:tr>
        <w:trPr>
          <w:trHeight w:val="196"/>
        </w:trPr>
        <w:tc>
          <w:tcPr>
            <w:tcW w:w="1420" w:type="dxa"/>
            <w:vAlign w:val="bottom"/>
            <w:tcBorders>
              <w:top w:val="single" w:sz="8" w:color="CCEEFF"/>
            </w:tcBorders>
            <w:shd w:val="clear" w:color="auto" w:fill="CCEEFF"/>
          </w:tcPr>
          <w:p>
            <w:pPr>
              <w:spacing w:after="0"/>
              <w:rPr>
                <w:sz w:val="17"/>
                <w:szCs w:val="17"/>
                <w:color w:val="auto"/>
              </w:rPr>
            </w:pPr>
          </w:p>
        </w:tc>
        <w:tc>
          <w:tcPr>
            <w:tcW w:w="5080" w:type="dxa"/>
            <w:vAlign w:val="bottom"/>
            <w:tcBorders>
              <w:top w:val="single" w:sz="8" w:color="0000FF"/>
            </w:tcBorders>
            <w:gridSpan w:val="4"/>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4740" w:type="dxa"/>
            <w:vAlign w:val="bottom"/>
            <w:tcBorders>
              <w:top w:val="single" w:sz="8" w:color="CCEEFF"/>
            </w:tcBorders>
            <w:shd w:val="clear" w:color="auto" w:fill="CCEEFF"/>
          </w:tcPr>
          <w:p>
            <w:pPr>
              <w:spacing w:after="0"/>
              <w:rPr>
                <w:sz w:val="17"/>
                <w:szCs w:val="17"/>
                <w:color w:val="auto"/>
              </w:rPr>
            </w:pPr>
          </w:p>
        </w:tc>
      </w:tr>
      <w:tr>
        <w:trPr>
          <w:trHeight w:val="48"/>
        </w:trPr>
        <w:tc>
          <w:tcPr>
            <w:tcW w:w="142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6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740" w:type="dxa"/>
            <w:vAlign w:val="bottom"/>
            <w:tcBorders>
              <w:top w:val="single" w:sz="8" w:color="CCEEFF"/>
            </w:tcBorders>
            <w:shd w:val="clear" w:color="auto" w:fill="CCEEFF"/>
          </w:tcPr>
          <w:p>
            <w:pPr>
              <w:spacing w:after="0"/>
              <w:rPr>
                <w:sz w:val="4"/>
                <w:szCs w:val="4"/>
                <w:color w:val="auto"/>
              </w:rPr>
            </w:pPr>
          </w:p>
        </w:tc>
      </w:tr>
      <w:tr>
        <w:trPr>
          <w:trHeight w:val="203"/>
        </w:trPr>
        <w:tc>
          <w:tcPr>
            <w:tcW w:w="14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5040" w:type="dxa"/>
            <w:vAlign w:val="bottom"/>
            <w:tcBorders>
              <w:bottom w:val="single" w:sz="8" w:color="0000FF"/>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906 of</w:t>
            </w:r>
          </w:p>
        </w:tc>
        <w:tc>
          <w:tcPr>
            <w:tcW w:w="4780" w:type="dxa"/>
            <w:vAlign w:val="bottom"/>
            <w:gridSpan w:val="2"/>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982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r>
      <w:tr>
        <w:trPr>
          <w:trHeight w:val="48"/>
        </w:trPr>
        <w:tc>
          <w:tcPr>
            <w:tcW w:w="1420" w:type="dxa"/>
            <w:vAlign w:val="bottom"/>
          </w:tcPr>
          <w:p>
            <w:pPr>
              <w:spacing w:after="0"/>
              <w:rPr>
                <w:sz w:val="4"/>
                <w:szCs w:val="4"/>
                <w:color w:val="auto"/>
              </w:rPr>
            </w:pPr>
          </w:p>
        </w:tc>
        <w:tc>
          <w:tcPr>
            <w:tcW w:w="2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740" w:type="dxa"/>
            <w:vAlign w:val="bottom"/>
          </w:tcPr>
          <w:p>
            <w:pPr>
              <w:spacing w:after="0"/>
              <w:rPr>
                <w:sz w:val="4"/>
                <w:szCs w:val="4"/>
                <w:color w:val="auto"/>
              </w:rPr>
            </w:pPr>
          </w:p>
        </w:tc>
      </w:tr>
      <w:tr>
        <w:trPr>
          <w:trHeight w:val="22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w:t>
            </w:r>
          </w:p>
        </w:tc>
      </w:tr>
      <w:tr>
        <w:trPr>
          <w:trHeight w:val="216"/>
        </w:trPr>
        <w:tc>
          <w:tcPr>
            <w:tcW w:w="1420" w:type="dxa"/>
            <w:vAlign w:val="bottom"/>
            <w:shd w:val="clear" w:color="auto" w:fill="CCEEFF"/>
          </w:tcPr>
          <w:p>
            <w:pPr>
              <w:spacing w:after="0"/>
              <w:rPr>
                <w:sz w:val="18"/>
                <w:szCs w:val="18"/>
                <w:color w:val="auto"/>
              </w:rPr>
            </w:pPr>
          </w:p>
        </w:tc>
        <w:tc>
          <w:tcPr>
            <w:tcW w:w="98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w:t>
            </w:r>
          </w:p>
        </w:tc>
      </w:tr>
      <w:tr>
        <w:trPr>
          <w:trHeight w:val="241"/>
        </w:trPr>
        <w:tc>
          <w:tcPr>
            <w:tcW w:w="1420" w:type="dxa"/>
            <w:vAlign w:val="bottom"/>
            <w:tcBorders>
              <w:bottom w:val="single" w:sz="8" w:color="CCEEFF"/>
            </w:tcBorders>
            <w:shd w:val="clear" w:color="auto" w:fill="CCEEFF"/>
          </w:tcPr>
          <w:p>
            <w:pPr>
              <w:spacing w:after="0"/>
              <w:rPr>
                <w:sz w:val="20"/>
                <w:szCs w:val="20"/>
                <w:color w:val="auto"/>
              </w:rPr>
            </w:pPr>
          </w:p>
        </w:tc>
        <w:tc>
          <w:tcPr>
            <w:tcW w:w="98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43"/>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
        </w:trPr>
        <w:tc>
          <w:tcPr>
            <w:tcW w:w="1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43"/>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
        </w:trPr>
        <w:tc>
          <w:tcPr>
            <w:tcW w:w="1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43"/>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08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6" w:lineRule="exact"/>
        <w:rPr>
          <w:sz w:val="20"/>
          <w:szCs w:val="20"/>
          <w:color w:val="auto"/>
        </w:rPr>
      </w:pPr>
    </w:p>
    <w:p>
      <w:pPr>
        <w:ind w:left="1440" w:right="5160" w:hanging="1414"/>
        <w:spacing w:after="0" w:line="282" w:lineRule="auto"/>
        <w:tabs>
          <w:tab w:leader="none" w:pos="1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1" w:name="page52"/>
    <w:bookmarkEnd w:id="51"/>
    <w:p>
      <w:pPr>
        <w:spacing w:after="0" w:line="221" w:lineRule="exact"/>
        <w:rPr>
          <w:sz w:val="20"/>
          <w:szCs w:val="20"/>
          <w:color w:val="auto"/>
        </w:rPr>
      </w:pPr>
    </w:p>
    <w:p>
      <w:pPr>
        <w:ind w:left="652" w:hanging="652"/>
        <w:spacing w:after="0" w:line="227" w:lineRule="auto"/>
        <w:tabs>
          <w:tab w:leader="none" w:pos="19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This certification is deemed not filed for purpose of Section 18 of the Exchange Act, or otherwise subject to the liability of that section, nor shall it be deemed incorporated by reference into any filings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52" w:name="page53"/>
    <w:bookmarkEnd w:id="52"/>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6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CERTARA, INC.</w:t>
            </w:r>
          </w:p>
        </w:tc>
      </w:tr>
      <w:tr>
        <w:trPr>
          <w:trHeight w:val="48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9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JON RESNICK</w:t>
            </w:r>
          </w:p>
        </w:tc>
      </w:tr>
      <w:tr>
        <w:trPr>
          <w:trHeight w:val="27"/>
        </w:trPr>
        <w:tc>
          <w:tcPr>
            <w:tcW w:w="34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29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Jon Resnick</w:t>
            </w:r>
          </w:p>
        </w:tc>
      </w:tr>
      <w:tr>
        <w:trPr>
          <w:trHeight w:val="252"/>
        </w:trPr>
        <w:tc>
          <w:tcPr>
            <w:tcW w:w="3460" w:type="dxa"/>
            <w:vAlign w:val="bottom"/>
          </w:tcPr>
          <w:p>
            <w:pPr>
              <w:spacing w:after="0"/>
              <w:rPr>
                <w:sz w:val="21"/>
                <w:szCs w:val="21"/>
                <w:color w:val="auto"/>
              </w:rPr>
            </w:pPr>
          </w:p>
        </w:tc>
        <w:tc>
          <w:tcPr>
            <w:tcW w:w="29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4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4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9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E. GALLAGHER III</w:t>
            </w:r>
          </w:p>
        </w:tc>
      </w:tr>
      <w:tr>
        <w:trPr>
          <w:trHeight w:val="27"/>
        </w:trPr>
        <w:tc>
          <w:tcPr>
            <w:tcW w:w="34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29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E. Gallagher III</w:t>
            </w:r>
          </w:p>
        </w:tc>
      </w:tr>
      <w:tr>
        <w:trPr>
          <w:trHeight w:val="252"/>
        </w:trPr>
        <w:tc>
          <w:tcPr>
            <w:tcW w:w="3460" w:type="dxa"/>
            <w:vAlign w:val="bottom"/>
          </w:tcPr>
          <w:p>
            <w:pPr>
              <w:spacing w:after="0"/>
              <w:rPr>
                <w:sz w:val="21"/>
                <w:szCs w:val="21"/>
                <w:color w:val="auto"/>
              </w:rPr>
            </w:pPr>
          </w:p>
        </w:tc>
        <w:tc>
          <w:tcPr>
            <w:tcW w:w="29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34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4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RULE 13a-14(a) CERTIFICATION</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CERTARA,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EXECUTIVE OFFICER (Principal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Resnick, certify that:</w:t>
      </w:r>
    </w:p>
    <w:p>
      <w:pPr>
        <w:spacing w:after="0" w:line="22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Certara,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27" w:right="339" w:bottom="1440" w:gutter="0" w:footer="0" w:header="0"/>
        </w:sectPr>
      </w:pPr>
    </w:p>
    <w:bookmarkStart w:id="54" w:name="page55"/>
    <w:bookmarkEnd w:id="54"/>
    <w:p>
      <w:pPr>
        <w:ind w:left="1280" w:right="140" w:hanging="644"/>
        <w:spacing w:after="0" w:line="282" w:lineRule="auto"/>
        <w:tabs>
          <w:tab w:leader="none" w:pos="12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 Resnick</w:t>
            </w:r>
          </w:p>
        </w:tc>
      </w:tr>
      <w:tr>
        <w:trPr>
          <w:trHeight w:val="218"/>
        </w:trPr>
        <w:tc>
          <w:tcPr>
            <w:tcW w:w="560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Jon Resnick</w:t>
            </w:r>
          </w:p>
        </w:tc>
      </w:tr>
      <w:tr>
        <w:trPr>
          <w:trHeight w:val="229"/>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20"/>
          </w:cols>
          <w:pgMar w:left="340" w:top="114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13a-14(a)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CERTARA,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 (Principal Financial Officer)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Gallaghe</w:t>
      </w:r>
      <w:r>
        <w:rPr>
          <w:rFonts w:ascii="Arial" w:cs="Arial" w:eastAsia="Arial" w:hAnsi="Arial"/>
          <w:sz w:val="19"/>
          <w:szCs w:val="19"/>
          <w:color w:val="auto"/>
        </w:rPr>
        <w:t>r</w:t>
      </w:r>
      <w:r>
        <w:rPr>
          <w:rFonts w:ascii="Times New Roman" w:cs="Times New Roman" w:eastAsia="Times New Roman" w:hAnsi="Times New Roman"/>
          <w:sz w:val="18"/>
          <w:szCs w:val="18"/>
          <w:color w:val="auto"/>
        </w:rPr>
        <w:t>, certify that:</w:t>
      </w:r>
    </w:p>
    <w:p>
      <w:pPr>
        <w:spacing w:after="0" w:line="211"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Certara,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E. Gallagher III</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E. Gallagher III</w:t>
            </w:r>
          </w:p>
        </w:tc>
      </w:tr>
      <w:tr>
        <w:trPr>
          <w:trHeight w:val="230"/>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92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REQUIRED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Quarterly Report of Certara, Inc. (the “Company”) on Form 10-Q for the quarterly period ended March 31, 2026, as filed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on the date hereof (the “Report”), I, the undersigned, hereby certify that to the best of my knowledge:</w:t>
      </w:r>
    </w:p>
    <w:p>
      <w:pPr>
        <w:spacing w:after="0" w:line="20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20"/>
        <w:spacing w:after="0"/>
        <w:tabs>
          <w:tab w:leader="none" w:pos="3280" w:val="left"/>
        </w:tabs>
        <w:rPr>
          <w:sz w:val="20"/>
          <w:szCs w:val="20"/>
          <w:color w:val="auto"/>
        </w:rPr>
      </w:pPr>
      <w:r>
        <w:rPr>
          <w:rFonts w:ascii="Times New Roman" w:cs="Times New Roman" w:eastAsia="Times New Roman" w:hAnsi="Times New Roman"/>
          <w:sz w:val="18"/>
          <w:szCs w:val="18"/>
          <w:color w:val="auto"/>
        </w:rPr>
        <w:t>May 11, 2026</w:t>
      </w:r>
      <w:r>
        <w:rPr>
          <w:sz w:val="20"/>
          <w:szCs w:val="20"/>
          <w:color w:val="auto"/>
        </w:rPr>
        <w:tab/>
      </w:r>
      <w:r>
        <w:rPr>
          <w:rFonts w:ascii="Times New Roman" w:cs="Times New Roman" w:eastAsia="Times New Roman" w:hAnsi="Times New Roman"/>
          <w:sz w:val="17"/>
          <w:szCs w:val="17"/>
          <w:i w:val="1"/>
          <w:iCs w:val="1"/>
          <w:color w:val="auto"/>
        </w:rPr>
        <w:t>/s/ Jon Resnick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18415</wp:posOffset>
            </wp:positionV>
            <wp:extent cx="33864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1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Jon Resnick</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92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REQUIRED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Quarterly Report of Certara, Inc. (the “Company”) on Form 10-Q for the quarterly period ended March 31, 2026, as filed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on the date hereof (the “Report”), I, the undersigned, hereby certify that to the best of my knowledge:</w:t>
      </w:r>
    </w:p>
    <w:p>
      <w:pPr>
        <w:spacing w:after="0" w:line="20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20"/>
        <w:spacing w:after="0"/>
        <w:tabs>
          <w:tab w:leader="none" w:pos="3280" w:val="left"/>
        </w:tabs>
        <w:rPr>
          <w:sz w:val="20"/>
          <w:szCs w:val="20"/>
          <w:color w:val="auto"/>
        </w:rPr>
      </w:pPr>
      <w:r>
        <w:rPr>
          <w:rFonts w:ascii="Times New Roman" w:cs="Times New Roman" w:eastAsia="Times New Roman" w:hAnsi="Times New Roman"/>
          <w:sz w:val="18"/>
          <w:szCs w:val="18"/>
          <w:color w:val="auto"/>
        </w:rPr>
        <w:t>May 11, 2026</w:t>
      </w:r>
      <w:r>
        <w:rPr>
          <w:sz w:val="20"/>
          <w:szCs w:val="20"/>
          <w:color w:val="auto"/>
        </w:rPr>
        <w:tab/>
      </w:r>
      <w:r>
        <w:rPr>
          <w:rFonts w:ascii="Times New Roman" w:cs="Times New Roman" w:eastAsia="Times New Roman" w:hAnsi="Times New Roman"/>
          <w:sz w:val="18"/>
          <w:szCs w:val="18"/>
          <w:i w:val="1"/>
          <w:iCs w:val="1"/>
          <w:color w:val="auto"/>
        </w:rPr>
        <w:t>/s/ John E. Gallagher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18415</wp:posOffset>
            </wp:positionV>
            <wp:extent cx="33864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3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John E. Gallagher III</w:t>
      </w:r>
    </w:p>
    <w:p>
      <w:pPr>
        <w:spacing w:after="0" w:line="6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4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lowerLetter"/>
      <w:start w:val="6"/>
    </w:lvl>
  </w:abstractNum>
  <w:abstractNum w:abstractNumId="6">
    <w:nsid w:val="519B500D"/>
    <w:multiLevelType w:val="hybridMultilevel"/>
    <w:lvl w:ilvl="0">
      <w:lvlJc w:val="left"/>
      <w:lvlText w:val="%1."/>
      <w:numFmt w:val="lowerRoman"/>
      <w:start w:val="2"/>
    </w:lvl>
  </w:abstractNum>
  <w:abstractNum w:abstractNumId="7">
    <w:nsid w:val="431BD7B7"/>
    <w:multiLevelType w:val="hybridMultilevel"/>
    <w:lvl w:ilvl="0">
      <w:lvlJc w:val="left"/>
      <w:lvlText w:val="(%1)"/>
      <w:numFmt w:val="lowerLetter"/>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9"/>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Letter"/>
      <w:start w:val="3"/>
    </w:lvl>
  </w:abstractNum>
  <w:abstractNum w:abstractNumId="16">
    <w:nsid w:val="2443A858"/>
    <w:multiLevelType w:val="hybridMultilevel"/>
    <w:lvl w:ilvl="0">
      <w:lvlJc w:val="left"/>
      <w:lvlText w:val="•"/>
      <w:numFmt w:val="bullet"/>
      <w:start w:val="1"/>
    </w:lvl>
    <w:lvl w:ilvl="1">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decimal"/>
      <w:start w:val="104"/>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lvl w:ilvl="1">
      <w:lvlJc w:val="left"/>
      <w:lvlText w:val="(%2)"/>
      <w:numFmt w:val="lowerLetter"/>
      <w:start w:val="1"/>
    </w:lvl>
  </w:abstractNum>
  <w:abstractNum w:abstractNumId="24">
    <w:nsid w:val="189A769B"/>
    <w:multiLevelType w:val="hybridMultilevel"/>
    <w:lvl w:ilvl="0">
      <w:lvlJc w:val="left"/>
      <w:lvlText w:val="(%1)"/>
      <w:numFmt w:val="lowerLetter"/>
      <w:start w:val="2"/>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76" Type="http://schemas.openxmlformats.org/officeDocument/2006/relationships/hyperlink" Target="https://www.sec.gov/Archives/edgar/data/1827090/000110465921100776/tm2123444d2_ex2-1.htm" TargetMode="External"/><Relationship Id="rId77" Type="http://schemas.openxmlformats.org/officeDocument/2006/relationships/hyperlink" Target="https://www.sec.gov/Archives/edgar/data/1827090/000110465920135789/tm2030105d18_ex4-1.htm" TargetMode="External"/><Relationship Id="rId78" Type="http://schemas.openxmlformats.org/officeDocument/2006/relationships/hyperlink" Target="https://www.sec.gov/Archives/edgar/data/1827090/000182709025000014/exhibit32certificateofcorr.htm" TargetMode="External"/><Relationship Id="rId79" Type="http://schemas.openxmlformats.org/officeDocument/2006/relationships/hyperlink" Target="https://www.sec.gov/Archives/edgar/data/1827090/000182709025000036/exhibit33-secondamendeda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2026-05-11T05:37:06Z</dcterms:created>
  <dcterms:modified xsi:type="dcterms:W3CDTF">2026-05-11T05:37:06Z</dcterms:modified>
</cp:coreProperties>
</file>