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5050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050790"/>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40" w:space="320"/>
            <w:col w:w="8420"/>
          </w:cols>
          <w:pgMar w:left="460" w:top="215"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Anhalt Rona</w:t>
              </w:r>
            </w:hyperlink>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Certara,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CERT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2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1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CERTARA, INC.</w:t>
            </w:r>
          </w:p>
        </w:tc>
        <w:tc>
          <w:tcPr>
            <w:tcW w:w="1240" w:type="dxa"/>
            <w:vAlign w:val="bottom"/>
          </w:tcPr>
          <w:p>
            <w:pPr>
              <w:spacing w:after="0"/>
              <w:rPr>
                <w:sz w:val="18"/>
                <w:szCs w:val="18"/>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rPr>
              <w:t>05/11/2026</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4 RADNOR CORPORATE CENTER, SUITE 350</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0"/>
          <w:szCs w:val="20"/>
          <w:color w:val="auto"/>
        </w:rPr>
      </w:pPr>
    </w:p>
    <w:p>
      <w:pPr>
        <w:ind w:left="521"/>
        <w:spacing w:after="0"/>
        <w:rPr>
          <w:sz w:val="20"/>
          <w:szCs w:val="20"/>
          <w:color w:val="auto"/>
        </w:rPr>
      </w:pPr>
      <w:r>
        <w:rPr>
          <w:rFonts w:ascii="Times New Roman" w:cs="Times New Roman" w:eastAsia="Times New Roman" w:hAnsi="Times New Roman"/>
          <w:sz w:val="16"/>
          <w:szCs w:val="16"/>
          <w:color w:val="0000FF"/>
        </w:rPr>
        <w:t>Chief Human Resources Officer</w:t>
      </w:r>
    </w:p>
    <w:p>
      <w:pPr>
        <w:spacing w:after="0" w:line="387" w:lineRule="exact"/>
        <w:rPr>
          <w:sz w:val="20"/>
          <w:szCs w:val="20"/>
          <w:color w:val="auto"/>
        </w:rPr>
      </w:pPr>
    </w:p>
    <w:p>
      <w:pPr>
        <w:sectPr>
          <w:pgSz w:w="11900" w:h="16838" w:orient="portrait"/>
          <w:cols w:equalWidth="0" w:num="2">
            <w:col w:w="7680" w:space="59"/>
            <w:col w:w="3341"/>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78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RADNOR</w:t>
            </w: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0000FF"/>
                <w:w w:val="97"/>
              </w:rPr>
              <w:t>PA</w:t>
            </w:r>
          </w:p>
        </w:tc>
        <w:tc>
          <w:tcPr>
            <w:tcW w:w="980" w:type="dxa"/>
            <w:vAlign w:val="bottom"/>
          </w:tcPr>
          <w:p>
            <w:pPr>
              <w:spacing w:after="0"/>
              <w:rPr>
                <w:sz w:val="9"/>
                <w:szCs w:val="9"/>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19087</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2"/>
          </w:tcPr>
          <w:p>
            <w:pPr>
              <w:ind w:left="8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2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5580" w:type="dxa"/>
            <w:vAlign w:val="bottom"/>
            <w:tcBorders>
              <w:bottom w:val="single" w:sz="8" w:color="2C2C2C"/>
            </w:tcBorders>
            <w:gridSpan w:val="10"/>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05/11/2026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w:t>
            </w:r>
          </w:p>
        </w:tc>
        <w:tc>
          <w:tcPr>
            <w:tcW w:w="52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43,938</w:t>
            </w:r>
          </w:p>
        </w:tc>
        <w:tc>
          <w:tcPr>
            <w:tcW w:w="76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43,938</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242"/>
              <w:spacing w:after="0"/>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19"/>
                <w:szCs w:val="19"/>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05/11/2026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43,938</w:t>
            </w:r>
          </w:p>
        </w:tc>
        <w:tc>
          <w:tcPr>
            <w:tcW w:w="50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43,938</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43,938</w:t>
            </w:r>
          </w:p>
        </w:tc>
        <w:tc>
          <w:tcPr>
            <w:tcW w:w="6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05/11/2026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61,728</w:t>
            </w:r>
          </w:p>
        </w:tc>
        <w:tc>
          <w:tcPr>
            <w:tcW w:w="50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04/01/2029</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61,728</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61,728</w:t>
            </w:r>
          </w:p>
        </w:tc>
        <w:tc>
          <w:tcPr>
            <w:tcW w:w="6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05/11/2026</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92,592</w:t>
            </w:r>
          </w:p>
        </w:tc>
        <w:tc>
          <w:tcPr>
            <w:tcW w:w="500" w:type="dxa"/>
            <w:vAlign w:val="bottom"/>
          </w:tcPr>
          <w:p>
            <w:pPr>
              <w:spacing w:after="0"/>
              <w:rPr>
                <w:sz w:val="19"/>
                <w:szCs w:val="19"/>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92,592</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92,592</w:t>
            </w:r>
          </w:p>
        </w:tc>
        <w:tc>
          <w:tcPr>
            <w:tcW w:w="6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-2477135</wp:posOffset>
            </wp:positionV>
            <wp:extent cx="28575" cy="2482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8221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40" w:right="200" w:hanging="2"/>
        <w:spacing w:after="0" w:line="23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Certara, Inc. ("Company") performance stock unit ("PSU") was granted on May 20, 2025, pursuant to the terms of the 2025 Long-Term Incentive Plan for Company executives approved by the Compensation Committee of the Company's Board of Directors, under the Certara 2020 Incentive Plan (the "2020 Incentive Plan"). Each PSU represents a conditional right to receive one share of Company common stock. The reporting person will be entitled to receive a number of shares between 0% and 200% of the target amount reported based on the Company's performance against certain total shareholder return thresholds through the period ending on March 31, 2028.</w:t>
      </w:r>
    </w:p>
    <w:p>
      <w:pPr>
        <w:spacing w:after="0" w:line="24" w:lineRule="exact"/>
        <w:rPr>
          <w:rFonts w:ascii="Times New Roman" w:cs="Times New Roman" w:eastAsia="Times New Roman" w:hAnsi="Times New Roman"/>
          <w:sz w:val="13"/>
          <w:szCs w:val="13"/>
          <w:color w:val="008000"/>
        </w:rPr>
      </w:pPr>
    </w:p>
    <w:p>
      <w:pPr>
        <w:ind w:left="40" w:right="24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was granted on May 11, 2026, under the 2020 Incentive Plan and represents a right to receive one share of common stock or the cash equivalent. The RSUs will vest and settle in three equal installments on April 1, 2027, April 1, 2028, and April 1, 2029.</w:t>
      </w:r>
    </w:p>
    <w:p>
      <w:pPr>
        <w:spacing w:after="0" w:line="21" w:lineRule="exact"/>
        <w:rPr>
          <w:rFonts w:ascii="Times New Roman" w:cs="Times New Roman" w:eastAsia="Times New Roman" w:hAnsi="Times New Roman"/>
          <w:sz w:val="13"/>
          <w:szCs w:val="13"/>
          <w:color w:val="008000"/>
        </w:rPr>
      </w:pPr>
    </w:p>
    <w:p>
      <w:pPr>
        <w:ind w:left="40" w:right="200" w:hanging="2"/>
        <w:spacing w:after="0" w:line="23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Company PSU was granted on May 11, 2026, pursuant to the terms of the 2026 Long-Term Incentive Plan for Company executives approved by the Compensation Committee of the Company's Board of Directors, under the 2020 Incentive Plan. Each PSU represents a conditional right to receive one share of Company common stock. The reporting person will be entitled to receive a number of shares between 0% and 200% of the target amount reported based on the Company's performance against certain total shareholder return thresholds through the period ending on March 31, 2029.</w:t>
      </w:r>
    </w:p>
    <w:p>
      <w:pPr>
        <w:spacing w:after="0" w:line="5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Daniel D. Corcoran,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-4445</wp:posOffset>
            </wp:positionV>
            <wp:extent cx="1076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8"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Rona</w:t>
      </w:r>
      <w:r>
        <w:rPr>
          <w:sz w:val="20"/>
          <w:szCs w:val="20"/>
          <w:color w:val="auto"/>
        </w:rPr>
        <w:tab/>
      </w:r>
      <w:r>
        <w:rPr>
          <w:rFonts w:ascii="Times New Roman" w:cs="Times New Roman" w:eastAsia="Times New Roman" w:hAnsi="Times New Roman"/>
          <w:sz w:val="16"/>
          <w:szCs w:val="16"/>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1868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8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Anhalt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-10795</wp:posOffset>
            </wp:positionV>
            <wp:extent cx="281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5139" TargetMode="External"/><Relationship Id="rId14" Type="http://schemas.openxmlformats.org/officeDocument/2006/relationships/hyperlink" Target="http://www.sec.gov/cgi-bin/browse-edgar?action=getcompany&amp;CIK=00018270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2026-05-13T16:10:51Z</dcterms:created>
  <dcterms:modified xsi:type="dcterms:W3CDTF">2026-05-13T16:10:51Z</dcterms:modified>
</cp:coreProperties>
</file>