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22026_080947.xml.htm"/>
      <w:bookmarkStart w:id="1" w:name="ksform409022026_0809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Mohammed Faiz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CERTARA,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RADNOR CORPORATE CENTER, SUITE 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RADNOR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Certara,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63,532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63,532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63,532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was granted on September 1, 2026, under the Certara, Inc. ("Certara") 2020 Incentive Plan and represents a contingent right to receive one share of Certara common stock (or the cash equivalent thereof). The RSUs vest in two equal installments, with 50% of the award vesting on July 15, 2027, and the remaining 50% vesting on July 15, 2028, subject to the reporting person's continued service through each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D. Corcoran, as Attorney-in-Fact for Faiz Mohammed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3915" TargetMode="External"/><Relationship Id="rId5" Type="http://schemas.openxmlformats.org/officeDocument/2006/relationships/hyperlink" Target="http://www.sec.gov/cgi-bin/browse-edgar?action=getcompany&amp;CIK=00018270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3528</Characters>
  <CharactersWithSpaces>4108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