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tm2622458d1_8k.htm"/>
      <w:bookmarkStart w:id="1" w:name="kstm2622458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w:t>
      </w:r>
      <w:bookmarkStart w:id="2" w:name="xdx_903_edei--DocumentType_c20260804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Certara,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2210"/>
        <w:gridCol w:w="1100"/>
        <w:gridCol w:w="1535"/>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804"/>
            <w:bookmarkEnd w:id="6"/>
            <w:r>
              <w:rPr>
                <w:rFonts w:ascii="Times New Roman;Times;Serif" w:hAnsi="Times New Roman;Times;Serif"/>
                <w:b/>
                <w:i w:val="false"/>
                <w:caps w:val="false"/>
                <w:smallCaps w:val="false"/>
                <w:sz w:val="20"/>
              </w:rPr>
              <w:t>001-39799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82-2180925</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4 Radnor Corporate Center</w:t>
              <w:br/>
            </w:r>
            <w:bookmarkStart w:id="9" w:name="xdx_903_edei--EntityAddressAddressLine2_"/>
            <w:bookmarkEnd w:id="9"/>
            <w:r>
              <w:rPr>
                <w:rFonts w:ascii="Times New Roman;Times;Serif" w:hAnsi="Times New Roman;Times;Serif"/>
                <w:b/>
                <w:i w:val="false"/>
                <w:caps w:val="false"/>
                <w:smallCaps w:val="false"/>
                <w:sz w:val="20"/>
              </w:rPr>
              <w:t>Suite 350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Radnor, </w:t>
            </w:r>
            <w:bookmarkStart w:id="11" w:name="xdx_90A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19087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804__20"/>
      <w:bookmarkEnd w:id="13"/>
      <w:r>
        <w:rPr>
          <w:rFonts w:ascii="Times New Roman;Times;Serif" w:hAnsi="Times New Roman;Times;Serif"/>
          <w:b/>
          <w:i w:val="false"/>
          <w:caps w:val="false"/>
          <w:smallCaps w:val="false"/>
          <w:sz w:val="20"/>
        </w:rPr>
        <w:t xml:space="preserve">415) </w:t>
      </w:r>
      <w:bookmarkStart w:id="14" w:name="xdx_907_edei--LocalPhoneNumber_c20260804"/>
      <w:bookmarkEnd w:id="14"/>
      <w:r>
        <w:rPr>
          <w:rFonts w:ascii="Times New Roman;Times;Serif" w:hAnsi="Times New Roman;Times;Serif"/>
          <w:b/>
          <w:i w:val="false"/>
          <w:caps w:val="false"/>
          <w:smallCaps w:val="false"/>
          <w:sz w:val="20"/>
        </w:rPr>
        <w:t>237-8272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380"/>
        <w:gridCol w:w="1610"/>
        <w:gridCol w:w="3710"/>
      </w:tblGrid>
      <w:tr>
        <w:trPr/>
        <w:tc>
          <w:tcPr>
            <w:tcW w:w="338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3380" w:type="dxa"/>
            <w:tcBorders/>
            <w:vAlign w:val="center"/>
          </w:tcPr>
          <w:p>
            <w:pPr>
              <w:pStyle w:val="TableContents"/>
              <w:bidi w:val="0"/>
              <w:spacing w:before="0" w:after="283"/>
              <w:jc w:val="center"/>
              <w:rPr>
                <w:rFonts w:ascii="Times New Roman;Times;Serif" w:hAnsi="Times New Roman;Times;Serif"/>
                <w:sz w:val="20"/>
              </w:rPr>
            </w:pPr>
            <w:bookmarkStart w:id="19" w:name="xdx_901_edei--Security12bTitle_c20260804"/>
            <w:bookmarkEnd w:id="19"/>
            <w:r>
              <w:rPr>
                <w:rFonts w:ascii="Times New Roman;Times;Serif" w:hAnsi="Times New Roman;Times;Serif"/>
                <w:sz w:val="20"/>
              </w:rPr>
              <w:t>Common stock, par value $0.01 per share</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6_edei--TradingSymbol_c20260804__2"/>
            <w:bookmarkEnd w:id="20"/>
            <w:r>
              <w:rPr>
                <w:rFonts w:ascii="Times New Roman;Times;Serif" w:hAnsi="Times New Roman;Times;Serif"/>
                <w:sz w:val="20"/>
              </w:rPr>
              <w:t>CERT</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1" w:name="xdx_901_edei--SecurityExchangeName_c2026"/>
            <w:bookmarkEnd w:id="21"/>
            <w:r>
              <w:rPr>
                <w:rFonts w:ascii="Times New Roman;Times;Serif" w:hAnsi="Times New Roman;Times;Serif"/>
                <w:sz w:val="20"/>
              </w:rPr>
              <w:t xml:space="preserve">The Nasdaq Stock Market LLC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2026, Certara, Inc. (the “Company”) hosted its second quarter 2026 earnings conference call and posted on its website its second quarter 2026 earnings presentation. On the earnings conference call, there was a misstatement in the spoken reference to the 2025 adjusted EBITDA generated by the Company’s recently divested Regulatory and Medical Writing business, which was quoted as having “generated approximately $17 million of adjusted EBITDA in 2025 </w:t>
      </w:r>
      <w:r>
        <w:rPr>
          <w:rFonts w:ascii="Times New Roman;Times;Serif" w:hAnsi="Times New Roman;Times;Serif"/>
          <w:b/>
          <w:i w:val="false"/>
          <w:caps w:val="false"/>
          <w:smallCaps w:val="false"/>
          <w:sz w:val="20"/>
        </w:rPr>
        <w:t>excluding</w:t>
      </w:r>
      <w:r>
        <w:rPr>
          <w:rFonts w:ascii="Times New Roman;Times;Serif" w:hAnsi="Times New Roman;Times;Serif"/>
          <w:b w:val="false"/>
          <w:i w:val="false"/>
          <w:caps w:val="false"/>
          <w:smallCaps w:val="false"/>
          <w:sz w:val="20"/>
        </w:rPr>
        <w:t xml:space="preserve"> unallocated overhead costs” (emphasis added), which should have been quoted as having “generated approximately $17 million of adjusted EBITDA in 2025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unallocated overhead costs” (emphasis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adjusted EBITDA generated by the Regulatory and Medical Writing business </w:t>
      </w:r>
      <w:r>
        <w:rPr>
          <w:rFonts w:ascii="Times New Roman;Times;Serif" w:hAnsi="Times New Roman;Times;Serif"/>
          <w:b/>
          <w:i w:val="false"/>
          <w:caps w:val="false"/>
          <w:smallCaps w:val="false"/>
          <w:sz w:val="20"/>
        </w:rPr>
        <w:t>excluding</w:t>
      </w:r>
      <w:r>
        <w:rPr>
          <w:rFonts w:ascii="Times New Roman;Times;Serif" w:hAnsi="Times New Roman;Times;Serif"/>
          <w:b w:val="false"/>
          <w:i w:val="false"/>
          <w:caps w:val="false"/>
          <w:smallCaps w:val="false"/>
          <w:sz w:val="20"/>
        </w:rPr>
        <w:t xml:space="preserve"> unallocated corporate expense that will remain with the Company is approximately $23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2026 earnings presentation contained the same misstatement and an updated version of the presentation has been posted to the Company’s website, available at ir.certara.com under the heading “Financials &amp; Filings—Quarterly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clarification has no impact on previously reported financial results, year-over-year comparisons or the Company’s 2026 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515"/>
        <w:gridCol w:w="1265"/>
        <w:gridCol w:w="320"/>
        <w:gridCol w:w="3515"/>
      </w:tblGrid>
      <w:tr>
        <w:trPr/>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7, 2026</w:t>
            </w:r>
          </w:p>
        </w:tc>
        <w:tc>
          <w:tcPr>
            <w:tcW w:w="38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CERTARA, INC.</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pPr>
            <w:r>
              <w:rPr/>
              <w:t>/s/ Daniel D. Corcoran</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Daniel D. Corcoran</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529</Words>
  <Characters>3032</Characters>
  <CharactersWithSpaces>3560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