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172026_080720.xml.htm"/>
      <w:bookmarkStart w:id="1" w:name="ksform307172026_08072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Mohammed Faiz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CERTARA,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RADNOR CORPORATE CENTER,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Certara, Inc.</w:t>
              </w:r>
            </w:hyperlink>
            <w:r>
              <w:rPr/>
              <w:t xml:space="preserve"> [ </w:t>
            </w:r>
            <w:r>
              <w:rPr>
                <w:rFonts w:ascii="Times;serif" w:hAnsi="Times;serif"/>
                <w:color w:val="0000FF"/>
                <w:sz w:val="24"/>
                <w:shd w:fill="FFFFFF" w:val="clear"/>
              </w:rPr>
              <w:t>CERT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Interim CFO</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163,686</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4"/>
        <w:gridCol w:w="1222"/>
        <w:gridCol w:w="1124"/>
        <w:gridCol w:w="1288"/>
        <w:gridCol w:w="926"/>
        <w:gridCol w:w="1255"/>
        <w:gridCol w:w="1214"/>
        <w:gridCol w:w="134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6,330</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13,290</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8,544</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was granted on April 1, 2024, pursuant to the Certara, Inc. ("Certara") 2020 Incentive Plan ("2020 Incentive Plan"). Each RSU represents a right to receive one share of Certara common stock or the cash equivalent thereof. One-third of the RSUs vested and settled on April 1, 2025, and one-third vested and settled on April 1, 2026. The remaining one-third of the RSUs will vest and settle on April 1, 2027, subject to the reporting person's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was granted on July 11, 2025, pursuant to the 2020 Incentive Plan. Each RSU represents a right to receive one share of Certara common stock or the cash equivalent thereof. One-third of the RSUs vested and settled on April 1, 2026. The remaining two-thirds of the RSUs will vest and settle in two equal installments on April 1, 2027 and April 1, 2028,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stock unit ("PSU") was granted on July 11, 2025, pursuant to the terms of Certara's 2025 Long-Term Incentive Plan for Executives, as approved by the Compensation Committee of Certara's Board of Directors under the 2020 Incentive Plan. Each PSU represents a right to receive one share of Certara common stock. The reporting person will be entitled to receive between 0% and 200% of the target number of PSUs based on Certara's performance against certain total shareholder return thresholds during the performance period ending March 31,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D. Corcoran, as Attorney-in-Fact for Faiz Mohammed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sz w:val="24"/>
        </w:rPr>
      </w:pPr>
      <w:bookmarkStart w:id="2" w:name="ex24-07172026_080720.htm"/>
      <w:bookmarkStart w:id="3" w:name="ksex2407172026_080720"/>
      <w:bookmarkEnd w:id="2"/>
      <w:bookmarkEnd w:id="3"/>
      <w:r>
        <w:rPr>
          <w:sz w:val="24"/>
        </w:rPr>
        <w:t>POWER OF ATTORNEY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59436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right"/>
                              <w:rPr>
                                <w:sz w:val="24"/>
                              </w:rPr>
                            </w:pPr>
                            <w:r>
                              <w:rPr>
                                <w:sz w:val="24"/>
                              </w:rPr>
                              <w:t>1</w:t>
                            </w:r>
                            <w:r>
                              <w:br w:type="page"/>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right"/>
                        <w:rPr>
                          <w:sz w:val="24"/>
                        </w:rPr>
                      </w:pPr>
                      <w:r>
                        <w:rPr>
                          <w:sz w:val="24"/>
                        </w:rPr>
                        <w:t>1</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both"/>
        <w:rPr>
          <w:sz w:val="24"/>
        </w:rPr>
      </w:pPr>
      <w:r>
        <w:rPr>
          <w:sz w:val="24"/>
        </w:rPr>
        <w:t>Know all by these presents that the undersigned, does hereby make, constitute and appoint each of Daniel D. Corcoran, Neil Erlichman, and Margaret A, Peter,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Certara, Inc. (the “Company”)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Daniel D. Corcoran, Neil Erlichman, and Margaret A. Peter are not assuming any of the undersigned’s responsibilities to comply with Section 16 of the Securities Exchange Act of 1934, as amended.</w:t>
      </w:r>
    </w:p>
    <w:p>
      <w:pPr>
        <w:pStyle w:val="TextBody"/>
        <w:bidi w:val="0"/>
        <w:spacing w:before="0" w:after="0"/>
        <w:ind w:left="0" w:right="0" w:hanging="0"/>
        <w:jc w:val="left"/>
        <w:rPr/>
      </w:pPr>
      <w:r>
        <w:rPr/>
      </w:r>
    </w:p>
    <w:p>
      <w:pPr>
        <w:pStyle w:val="TextBody"/>
        <w:bidi w:val="0"/>
        <w:spacing w:before="0" w:after="0"/>
        <w:ind w:left="0" w:right="0" w:hanging="0"/>
        <w:jc w:val="left"/>
        <w:rPr>
          <w:sz w:val="24"/>
        </w:rPr>
      </w:pPr>
      <w:r>
        <w:rPr>
          <w:sz w:val="24"/>
        </w:rPr>
        <w:t>Date:  June24,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 xml:space="preserve">/s/ Faiz Mohammed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1148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114800" cy="175260"/>
                        </a:xfrm>
                        <a:prstGeom prst="rect"/>
                        <a:solidFill>
                          <a:srgbClr val="FFFFFF"/>
                        </a:solidFill>
                      </wps:spPr>
                      <wps:txbx>
                        <w:txbxContent>
                          <w:p>
                            <w:pPr>
                              <w:pStyle w:val="TextBody"/>
                              <w:bidi w:val="0"/>
                              <w:spacing w:before="0" w:after="283"/>
                              <w:jc w:val="left"/>
                              <w:rPr>
                                <w:sz w:val="24"/>
                              </w:rPr>
                            </w:pPr>
                            <w:r>
                              <w:rPr>
                                <w:sz w:val="24"/>
                              </w:rPr>
                              <w:t>By:  </w:t>
                            </w:r>
                          </w:p>
                        </w:txbxContent>
                      </wps:txbx>
                      <wps:bodyPr anchor="t" lIns="0" tIns="0" rIns="0" bIns="0">
                        <a:noAutofit/>
                      </wps:bodyPr>
                    </wps:wsp>
                  </a:graphicData>
                </a:graphic>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  </w:t>
                      </w:r>
                    </w:p>
                  </w:txbxContent>
                </v:textbox>
                <w10:wrap type="square" side="right"/>
              </v:rect>
            </w:pict>
          </mc:Fallback>
        </mc:AlternateContent>
      </w:r>
    </w:p>
    <w:p>
      <w:pPr>
        <w:pStyle w:val="TextBody"/>
        <w:pBdr/>
        <w:bidi w:val="0"/>
        <w:spacing w:before="0" w:after="0"/>
        <w:ind w:left="0" w:right="0" w:hanging="0"/>
        <w:jc w:val="left"/>
        <w:rPr>
          <w:sz w:val="24"/>
        </w:rPr>
      </w:pPr>
      <w:r>
        <w:rPr>
          <w:sz w:val="24"/>
        </w:rPr>
        <w:t>Faiz Mohammed</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5943600" cy="102235"/>
                <wp:effectExtent l="0" t="0" r="0" b="0"/>
                <wp:wrapSquare wrapText="right"/>
                <wp:docPr id="5" name="Frame3"/>
                <a:graphic xmlns:a="http://schemas.openxmlformats.org/drawingml/2006/main">
                  <a:graphicData uri="http://schemas.microsoft.com/office/word/2010/wordprocessingShape">
                    <wps:wsp>
                      <wps:cNvSpPr txBox="1"/>
                      <wps:spPr>
                        <a:xfrm>
                          <a:off x="0" y="0"/>
                          <a:ext cx="5943600" cy="102235"/>
                        </a:xfrm>
                        <a:prstGeom prst="rect"/>
                        <a:solidFill>
                          <a:srgbClr val="FFFFFF"/>
                        </a:solidFill>
                      </wps:spPr>
                      <wps:txbx>
                        <w:txbxContent>
                          <w:p>
                            <w:pPr>
                              <w:pStyle w:val="TextBody"/>
                              <w:bidi w:val="0"/>
                              <w:spacing w:before="0" w:after="283"/>
                              <w:jc w:val="right"/>
                              <w:rPr>
                                <w:sz w:val="14"/>
                              </w:rPr>
                            </w:pPr>
                            <w:r>
                              <w:rPr>
                                <w:sz w:val="14"/>
                              </w:rPr>
                              <w:t>1/5/26 1:24 PM</w:t>
                            </w:r>
                          </w:p>
                        </w:txbxContent>
                      </wps:txbx>
                      <wps:bodyPr anchor="t" lIns="0" tIns="0" rIns="0" bIns="0">
                        <a:noAutofit/>
                      </wps:bodyPr>
                    </wps:wsp>
                  </a:graphicData>
                </a:graphic>
              </wp:anchor>
            </w:drawing>
          </mc:Choice>
          <mc:Fallback>
            <w:pict>
              <v:rect style="position:absolute;rotation:-0;width:468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right"/>
                        <w:rPr>
                          <w:sz w:val="14"/>
                        </w:rPr>
                      </w:pPr>
                      <w:r>
                        <w:rPr>
                          <w:sz w:val="14"/>
                        </w:rPr>
                        <w:t>1/5/26 1:24 PM</w:t>
                      </w:r>
                    </w:p>
                  </w:txbxContent>
                </v:textbox>
                <w10:wrap type="square" side="right"/>
              </v:rect>
            </w:pict>
          </mc:Fallback>
        </mc:AlternateConten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915" TargetMode="External"/><Relationship Id="rId3" Type="http://schemas.openxmlformats.org/officeDocument/2006/relationships/hyperlink" Target="http://www.sec.gov/cgi-bin/browse-edgar?action=getcompany&amp;CIK=000182709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946</Words>
  <Characters>4997</Characters>
  <CharactersWithSpaces>5881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